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8"/>
        <w:spacing w:line="600" w:lineRule="auto"/>
        <w:rPr>
          <w:sz w:val="48"/>
          <w:szCs w:val="48"/>
        </w:rPr>
      </w:pPr>
    </w:p>
    <w:p>
      <w:pPr>
        <w:pStyle w:val="18"/>
        <w:spacing w:line="600" w:lineRule="auto"/>
        <w:rPr>
          <w:sz w:val="48"/>
          <w:szCs w:val="48"/>
        </w:rPr>
      </w:pPr>
    </w:p>
    <w:p>
      <w:pPr>
        <w:pStyle w:val="18"/>
        <w:spacing w:line="600" w:lineRule="auto"/>
        <w:rPr>
          <w:sz w:val="48"/>
          <w:szCs w:val="48"/>
        </w:rPr>
      </w:pPr>
    </w:p>
    <w:p>
      <w:pPr>
        <w:jc w:val="center"/>
        <w:rPr>
          <w:rFonts w:hint="eastAsia" w:ascii="Times New Roman" w:hAnsi="Times New Roman" w:cs="Times New Roman"/>
          <w:b/>
          <w:bCs/>
          <w:color w:val="auto"/>
          <w:sz w:val="48"/>
          <w:szCs w:val="48"/>
          <w:shd w:val="clear" w:color="auto" w:fill="auto"/>
        </w:rPr>
      </w:pPr>
      <w:r>
        <w:rPr>
          <w:rFonts w:ascii="Times New Roman" w:hAnsi="Times New Roman" w:cs="Times New Roman"/>
          <w:b/>
          <w:bCs/>
          <w:color w:val="auto"/>
          <w:sz w:val="48"/>
          <w:szCs w:val="48"/>
          <w:shd w:val="clear" w:color="auto" w:fill="auto"/>
        </w:rPr>
        <w:t>建设项目竣工环境保护验收</w:t>
      </w:r>
      <w:r>
        <w:rPr>
          <w:rFonts w:hint="eastAsia" w:cs="Times New Roman"/>
          <w:b/>
          <w:bCs/>
          <w:color w:val="auto"/>
          <w:sz w:val="48"/>
          <w:szCs w:val="48"/>
          <w:shd w:val="clear" w:color="auto" w:fill="auto"/>
          <w:lang w:eastAsia="zh-CN"/>
        </w:rPr>
        <w:t>调查</w:t>
      </w:r>
      <w:r>
        <w:rPr>
          <w:rFonts w:hint="eastAsia" w:ascii="Times New Roman" w:hAnsi="Times New Roman" w:cs="Times New Roman"/>
          <w:b/>
          <w:bCs/>
          <w:color w:val="auto"/>
          <w:sz w:val="48"/>
          <w:szCs w:val="48"/>
          <w:shd w:val="clear" w:color="auto" w:fill="auto"/>
        </w:rPr>
        <w:t>报告</w:t>
      </w:r>
    </w:p>
    <w:p>
      <w:pPr>
        <w:jc w:val="both"/>
        <w:rPr>
          <w:rFonts w:hint="eastAsia" w:ascii="Times New Roman" w:hAnsi="Times New Roman" w:eastAsia="宋体" w:cs="Times New Roman"/>
          <w:b/>
          <w:bCs/>
          <w:color w:val="auto"/>
          <w:sz w:val="28"/>
          <w:szCs w:val="28"/>
          <w:shd w:val="clear" w:color="auto" w:fill="auto"/>
          <w:lang w:val="en-US" w:eastAsia="zh-CN"/>
        </w:rPr>
      </w:pPr>
    </w:p>
    <w:p>
      <w:pPr>
        <w:jc w:val="both"/>
        <w:rPr>
          <w:rFonts w:ascii="Times New Roman" w:hAnsi="Times New Roman" w:cs="Times New Roman"/>
          <w:color w:val="auto"/>
          <w:sz w:val="28"/>
          <w:szCs w:val="28"/>
          <w:shd w:val="clear" w:color="auto" w:fill="auto"/>
        </w:rPr>
      </w:pPr>
    </w:p>
    <w:p>
      <w:pPr>
        <w:pStyle w:val="18"/>
        <w:rPr>
          <w:sz w:val="28"/>
          <w:szCs w:val="28"/>
        </w:rPr>
      </w:pPr>
    </w:p>
    <w:p>
      <w:pPr>
        <w:rPr>
          <w:rFonts w:ascii="Times New Roman" w:hAnsi="Times New Roman" w:cs="Times New Roman"/>
          <w:color w:val="auto"/>
          <w:sz w:val="28"/>
          <w:szCs w:val="28"/>
          <w:shd w:val="clear" w:color="auto" w:fill="auto"/>
        </w:rPr>
      </w:pPr>
    </w:p>
    <w:p>
      <w:pPr>
        <w:rPr>
          <w:rFonts w:ascii="Times New Roman" w:hAnsi="Times New Roman" w:cs="Times New Roman"/>
          <w:color w:val="auto"/>
          <w:sz w:val="28"/>
          <w:szCs w:val="28"/>
          <w:shd w:val="clear" w:color="auto" w:fill="auto"/>
        </w:rPr>
      </w:pPr>
    </w:p>
    <w:p>
      <w:pPr>
        <w:pStyle w:val="18"/>
        <w:rPr>
          <w:rFonts w:ascii="Times New Roman" w:hAnsi="Times New Roman" w:cs="Times New Roman"/>
          <w:color w:val="auto"/>
          <w:sz w:val="28"/>
          <w:szCs w:val="28"/>
          <w:shd w:val="clear" w:color="auto" w:fill="auto"/>
        </w:rPr>
      </w:pPr>
    </w:p>
    <w:p>
      <w:pPr>
        <w:keepNext w:val="0"/>
        <w:keepLines w:val="0"/>
        <w:pageBreakBefore w:val="0"/>
        <w:widowControl w:val="0"/>
        <w:kinsoku w:val="0"/>
        <w:wordWrap w:val="0"/>
        <w:overflowPunct w:val="0"/>
        <w:topLinePunct w:val="0"/>
        <w:autoSpaceDE w:val="0"/>
        <w:autoSpaceDN w:val="0"/>
        <w:bidi w:val="0"/>
        <w:adjustRightInd/>
        <w:snapToGrid/>
        <w:spacing w:line="360" w:lineRule="auto"/>
        <w:ind w:right="0" w:rightChars="0"/>
        <w:jc w:val="both"/>
        <w:textAlignment w:val="auto"/>
        <w:outlineLvl w:val="9"/>
        <w:rPr>
          <w:rFonts w:hint="eastAsia" w:ascii="Times New Roman" w:hAnsi="Times New Roman" w:cs="Times New Roman"/>
          <w:color w:val="auto"/>
          <w:sz w:val="28"/>
          <w:szCs w:val="28"/>
          <w:shd w:val="clear" w:color="auto" w:fill="auto"/>
          <w:lang w:val="en-US" w:eastAsia="zh-CN"/>
        </w:rPr>
      </w:pPr>
    </w:p>
    <w:p>
      <w:pPr>
        <w:keepNext w:val="0"/>
        <w:keepLines w:val="0"/>
        <w:pageBreakBefore w:val="0"/>
        <w:widowControl w:val="0"/>
        <w:kinsoku w:val="0"/>
        <w:wordWrap w:val="0"/>
        <w:overflowPunct w:val="0"/>
        <w:topLinePunct w:val="0"/>
        <w:autoSpaceDE w:val="0"/>
        <w:autoSpaceDN w:val="0"/>
        <w:bidi w:val="0"/>
        <w:adjustRightInd/>
        <w:snapToGrid/>
        <w:spacing w:line="360" w:lineRule="auto"/>
        <w:ind w:right="0" w:rightChars="0"/>
        <w:jc w:val="both"/>
        <w:textAlignment w:val="auto"/>
        <w:outlineLvl w:val="9"/>
        <w:rPr>
          <w:rFonts w:hint="eastAsia" w:ascii="Times New Roman" w:hAnsi="Times New Roman" w:cs="Times New Roman"/>
          <w:color w:val="auto"/>
          <w:sz w:val="28"/>
          <w:szCs w:val="28"/>
          <w:shd w:val="clear" w:color="auto" w:fill="auto"/>
          <w:lang w:val="en-US" w:eastAsia="zh-CN"/>
        </w:rPr>
      </w:pPr>
    </w:p>
    <w:p>
      <w:pPr>
        <w:ind w:firstLine="640" w:firstLineChars="200"/>
        <w:jc w:val="both"/>
        <w:rPr>
          <w:rFonts w:hint="default" w:ascii="Times New Roman" w:hAnsi="Times New Roman" w:cs="Times New Roman"/>
          <w:b w:val="0"/>
          <w:bCs/>
          <w:color w:val="auto"/>
          <w:sz w:val="32"/>
          <w:szCs w:val="32"/>
          <w:u w:val="single"/>
        </w:rPr>
      </w:pPr>
      <w:r>
        <w:rPr>
          <w:rFonts w:hint="eastAsia" w:cs="Times New Roman"/>
          <w:color w:val="auto"/>
          <w:sz w:val="32"/>
          <w:szCs w:val="32"/>
          <w:shd w:val="clear" w:color="auto" w:fill="auto"/>
          <w:lang w:eastAsia="zh-CN"/>
        </w:rPr>
        <w:t>项目名称</w:t>
      </w:r>
      <w:r>
        <w:rPr>
          <w:rFonts w:ascii="Times New Roman" w:hAnsi="Times New Roman" w:cs="Times New Roman"/>
          <w:color w:val="auto"/>
          <w:sz w:val="32"/>
          <w:szCs w:val="32"/>
          <w:shd w:val="clear" w:color="auto" w:fill="auto"/>
        </w:rPr>
        <w:t>：</w:t>
      </w:r>
      <w:r>
        <w:rPr>
          <w:rFonts w:hint="default" w:ascii="Times New Roman" w:hAnsi="Times New Roman" w:cs="Times New Roman"/>
          <w:b w:val="0"/>
          <w:bCs/>
          <w:color w:val="auto"/>
          <w:sz w:val="32"/>
          <w:szCs w:val="32"/>
          <w:u w:val="single"/>
        </w:rPr>
        <w:t>年产2万吨铅锌矿石原矿采矿技改</w:t>
      </w:r>
    </w:p>
    <w:p>
      <w:pPr>
        <w:ind w:firstLine="2240" w:firstLineChars="700"/>
        <w:jc w:val="both"/>
        <w:rPr>
          <w:rFonts w:hint="default" w:ascii="Times New Roman" w:hAnsi="Times New Roman" w:cs="Times New Roman"/>
          <w:b w:val="0"/>
          <w:bCs/>
          <w:color w:val="auto"/>
          <w:sz w:val="32"/>
          <w:szCs w:val="32"/>
          <w:u w:val="single"/>
          <w:shd w:val="clear" w:color="auto" w:fill="auto"/>
          <w:lang w:val="en-US" w:eastAsia="zh-CN"/>
        </w:rPr>
      </w:pPr>
      <w:r>
        <w:rPr>
          <w:rFonts w:hint="default" w:ascii="Times New Roman" w:hAnsi="Times New Roman" w:cs="Times New Roman"/>
          <w:b w:val="0"/>
          <w:bCs/>
          <w:color w:val="auto"/>
          <w:sz w:val="32"/>
          <w:szCs w:val="32"/>
          <w:u w:val="single"/>
        </w:rPr>
        <w:t>整合扩建工程项目</w:t>
      </w:r>
      <w:r>
        <w:rPr>
          <w:rFonts w:hint="eastAsia" w:ascii="Times New Roman" w:hAnsi="Times New Roman" w:cs="Times New Roman"/>
          <w:b w:val="0"/>
          <w:bCs/>
          <w:color w:val="auto"/>
          <w:sz w:val="32"/>
          <w:szCs w:val="32"/>
          <w:u w:val="single"/>
          <w:lang w:val="en-US" w:eastAsia="zh-CN"/>
        </w:rPr>
        <w:t xml:space="preserve">          </w:t>
      </w:r>
      <w:r>
        <w:rPr>
          <w:rFonts w:hint="eastAsia" w:ascii="Times New Roman" w:hAnsi="Times New Roman" w:cs="Times New Roman"/>
          <w:b w:val="0"/>
          <w:bCs/>
          <w:color w:val="auto"/>
          <w:sz w:val="21"/>
          <w:szCs w:val="21"/>
          <w:u w:val="single"/>
          <w:lang w:val="en-US" w:eastAsia="zh-CN"/>
        </w:rPr>
        <w:t xml:space="preserve">  </w:t>
      </w:r>
      <w:r>
        <w:rPr>
          <w:rFonts w:hint="eastAsia" w:ascii="Times New Roman" w:hAnsi="Times New Roman" w:cs="Times New Roman"/>
          <w:b w:val="0"/>
          <w:bCs/>
          <w:color w:val="auto"/>
          <w:sz w:val="32"/>
          <w:szCs w:val="32"/>
          <w:u w:val="single"/>
          <w:lang w:val="en-US" w:eastAsia="zh-CN"/>
        </w:rPr>
        <w:t xml:space="preserve">  </w:t>
      </w:r>
      <w:r>
        <w:rPr>
          <w:rFonts w:hint="default" w:ascii="Times New Roman" w:hAnsi="Times New Roman" w:cs="Times New Roman"/>
          <w:b w:val="0"/>
          <w:bCs/>
          <w:color w:val="auto"/>
          <w:sz w:val="32"/>
          <w:szCs w:val="32"/>
          <w:u w:val="single"/>
          <w:shd w:val="clear" w:color="auto" w:fill="auto"/>
        </w:rPr>
        <w:t> </w:t>
      </w:r>
    </w:p>
    <w:p>
      <w:pPr>
        <w:keepNext w:val="0"/>
        <w:keepLines w:val="0"/>
        <w:pageBreakBefore w:val="0"/>
        <w:widowControl w:val="0"/>
        <w:kinsoku/>
        <w:wordWrap w:val="0"/>
        <w:overflowPunct/>
        <w:topLinePunct w:val="0"/>
        <w:autoSpaceDE/>
        <w:autoSpaceDN/>
        <w:bidi w:val="0"/>
        <w:adjustRightInd/>
        <w:snapToGrid/>
        <w:spacing w:line="360" w:lineRule="auto"/>
        <w:ind w:left="0" w:leftChars="0" w:right="0" w:rightChars="0" w:firstLine="640" w:firstLineChars="200"/>
        <w:jc w:val="both"/>
        <w:textAlignment w:val="auto"/>
        <w:outlineLvl w:val="9"/>
        <w:rPr>
          <w:rFonts w:ascii="Times New Roman" w:hAnsi="Times New Roman" w:cs="Times New Roman"/>
          <w:color w:val="auto"/>
          <w:sz w:val="32"/>
          <w:szCs w:val="32"/>
          <w:u w:val="single"/>
          <w:shd w:val="clear" w:color="auto" w:fill="auto"/>
        </w:rPr>
      </w:pPr>
      <w:r>
        <w:rPr>
          <w:rFonts w:hint="eastAsia" w:cs="Times New Roman"/>
          <w:color w:val="auto"/>
          <w:sz w:val="32"/>
          <w:szCs w:val="32"/>
          <w:shd w:val="clear" w:color="auto" w:fill="auto"/>
          <w:lang w:eastAsia="zh-CN"/>
        </w:rPr>
        <w:t>委托单位</w:t>
      </w:r>
      <w:r>
        <w:rPr>
          <w:rFonts w:ascii="Times New Roman" w:hAnsi="Times New Roman" w:cs="Times New Roman"/>
          <w:color w:val="auto"/>
          <w:sz w:val="32"/>
          <w:szCs w:val="32"/>
          <w:shd w:val="clear" w:color="auto" w:fill="auto"/>
        </w:rPr>
        <w:t>：</w:t>
      </w:r>
      <w:r>
        <w:rPr>
          <w:rFonts w:hint="eastAsia" w:hAnsi="宋体"/>
          <w:color w:val="auto"/>
          <w:sz w:val="32"/>
          <w:szCs w:val="32"/>
          <w:u w:val="single"/>
          <w:lang w:eastAsia="zh-CN"/>
        </w:rPr>
        <w:t>池州市姚街新冲铅锌矿有限公司</w:t>
      </w:r>
      <w:r>
        <w:rPr>
          <w:rFonts w:hint="eastAsia" w:hAnsi="宋体"/>
          <w:color w:val="auto"/>
          <w:sz w:val="21"/>
          <w:szCs w:val="21"/>
          <w:u w:val="single"/>
          <w:lang w:val="en-US" w:eastAsia="zh-CN"/>
        </w:rPr>
        <w:t xml:space="preserve"> </w:t>
      </w:r>
      <w:r>
        <w:rPr>
          <w:rFonts w:hint="eastAsia" w:cs="Times New Roman"/>
          <w:color w:val="auto"/>
          <w:sz w:val="21"/>
          <w:szCs w:val="21"/>
          <w:u w:val="single"/>
          <w:shd w:val="clear" w:color="auto" w:fill="auto"/>
          <w:lang w:val="en-US" w:eastAsia="zh-CN"/>
        </w:rPr>
        <w:t xml:space="preserve"> </w:t>
      </w:r>
      <w:r>
        <w:rPr>
          <w:rFonts w:hint="eastAsia" w:ascii="Times New Roman" w:hAnsi="Times New Roman" w:cs="Times New Roman"/>
          <w:color w:val="auto"/>
          <w:sz w:val="32"/>
          <w:szCs w:val="32"/>
          <w:u w:val="single"/>
          <w:shd w:val="clear" w:color="auto" w:fill="auto"/>
          <w:lang w:val="en-US" w:eastAsia="zh-CN"/>
        </w:rPr>
        <w:t> </w:t>
      </w:r>
    </w:p>
    <w:p>
      <w:pPr>
        <w:spacing w:line="240" w:lineRule="auto"/>
        <w:jc w:val="both"/>
        <w:rPr>
          <w:rFonts w:ascii="Times New Roman" w:hAnsi="Times New Roman" w:cs="Times New Roman"/>
          <w:color w:val="auto"/>
          <w:sz w:val="24"/>
          <w:szCs w:val="24"/>
          <w:shd w:val="clear" w:color="auto" w:fill="auto"/>
        </w:rPr>
      </w:pPr>
    </w:p>
    <w:p>
      <w:pPr>
        <w:pStyle w:val="18"/>
        <w:spacing w:line="240" w:lineRule="auto"/>
        <w:rPr>
          <w:sz w:val="24"/>
          <w:szCs w:val="24"/>
        </w:rPr>
      </w:pPr>
    </w:p>
    <w:p>
      <w:pPr>
        <w:pStyle w:val="18"/>
        <w:spacing w:line="240" w:lineRule="auto"/>
        <w:rPr>
          <w:sz w:val="28"/>
          <w:szCs w:val="28"/>
        </w:rPr>
      </w:pPr>
    </w:p>
    <w:p>
      <w:pPr>
        <w:pStyle w:val="18"/>
        <w:spacing w:line="240" w:lineRule="auto"/>
        <w:jc w:val="both"/>
        <w:rPr>
          <w:rFonts w:ascii="Times New Roman" w:hAnsi="Times New Roman" w:cs="Times New Roman"/>
          <w:color w:val="auto"/>
          <w:sz w:val="28"/>
          <w:szCs w:val="28"/>
          <w:shd w:val="clear" w:color="auto" w:fill="auto"/>
        </w:rPr>
      </w:pPr>
    </w:p>
    <w:p>
      <w:pPr>
        <w:jc w:val="center"/>
        <w:rPr>
          <w:rFonts w:hint="eastAsia" w:ascii="Times New Roman" w:hAnsi="Times New Roman" w:eastAsia="宋体" w:cs="Times New Roman"/>
          <w:color w:val="auto"/>
          <w:sz w:val="32"/>
          <w:szCs w:val="32"/>
          <w:shd w:val="clear" w:color="auto" w:fill="auto"/>
          <w:lang w:eastAsia="zh-CN"/>
        </w:rPr>
      </w:pPr>
      <w:r>
        <w:rPr>
          <w:rFonts w:hint="eastAsia" w:cs="Times New Roman"/>
          <w:color w:val="auto"/>
          <w:sz w:val="32"/>
          <w:szCs w:val="32"/>
          <w:shd w:val="clear" w:color="auto" w:fill="auto"/>
          <w:lang w:eastAsia="zh-CN"/>
        </w:rPr>
        <w:t>编制单位：安徽环科检测中心有限公司</w:t>
      </w:r>
    </w:p>
    <w:p>
      <w:pPr>
        <w:jc w:val="center"/>
        <w:rPr>
          <w:color w:val="auto"/>
          <w:sz w:val="32"/>
          <w:szCs w:val="32"/>
        </w:rPr>
      </w:pPr>
      <w:r>
        <w:rPr>
          <w:color w:val="auto"/>
          <w:sz w:val="32"/>
          <w:szCs w:val="32"/>
        </w:rPr>
        <w:t>二零一</w:t>
      </w:r>
      <w:r>
        <w:rPr>
          <w:rFonts w:hint="eastAsia"/>
          <w:color w:val="auto"/>
          <w:sz w:val="32"/>
          <w:szCs w:val="32"/>
          <w:lang w:eastAsia="zh-CN"/>
        </w:rPr>
        <w:t>八</w:t>
      </w:r>
      <w:r>
        <w:rPr>
          <w:color w:val="auto"/>
          <w:sz w:val="32"/>
          <w:szCs w:val="32"/>
        </w:rPr>
        <w:t>年</w:t>
      </w:r>
      <w:r>
        <w:rPr>
          <w:rFonts w:hint="eastAsia"/>
          <w:color w:val="auto"/>
          <w:sz w:val="32"/>
          <w:szCs w:val="32"/>
          <w:lang w:eastAsia="zh-CN"/>
        </w:rPr>
        <w:t>三</w:t>
      </w:r>
      <w:r>
        <w:rPr>
          <w:color w:val="auto"/>
          <w:sz w:val="32"/>
          <w:szCs w:val="32"/>
        </w:rPr>
        <w:t>月</w:t>
      </w:r>
    </w:p>
    <w:p>
      <w:pPr>
        <w:jc w:val="both"/>
        <w:rPr>
          <w:color w:val="auto"/>
          <w:sz w:val="32"/>
          <w:szCs w:val="32"/>
        </w:rPr>
      </w:pPr>
    </w:p>
    <w:p>
      <w:pPr>
        <w:pStyle w:val="18"/>
        <w:rPr>
          <w:color w:val="auto"/>
          <w:sz w:val="32"/>
          <w:szCs w:val="32"/>
        </w:rPr>
      </w:pPr>
    </w:p>
    <w:p>
      <w:pPr>
        <w:pStyle w:val="18"/>
        <w:rPr>
          <w:color w:val="auto"/>
          <w:sz w:val="32"/>
          <w:szCs w:val="32"/>
        </w:rPr>
      </w:pPr>
    </w:p>
    <w:p>
      <w:pPr>
        <w:rPr>
          <w:rFonts w:ascii="Times New Roman" w:hAnsi="Times New Roman" w:cs="Times New Roman"/>
          <w:color w:val="auto"/>
          <w:sz w:val="28"/>
          <w:szCs w:val="28"/>
          <w:shd w:val="clear" w:color="auto" w:fill="auto"/>
        </w:rPr>
        <w:sectPr>
          <w:head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titlePg/>
          <w:docGrid w:type="lines" w:linePitch="312" w:charSpace="0"/>
        </w:sectPr>
      </w:pPr>
    </w:p>
    <w:p>
      <w:pPr>
        <w:spacing w:line="360" w:lineRule="auto"/>
        <w:rPr>
          <w:rFonts w:hint="eastAsia" w:ascii="仿宋" w:hAnsi="仿宋" w:eastAsia="仿宋" w:cs="仿宋"/>
          <w:color w:val="auto"/>
          <w:sz w:val="28"/>
          <w:szCs w:val="28"/>
          <w:shd w:val="clear" w:color="auto" w:fill="auto"/>
          <w:lang w:eastAsia="zh-CN"/>
        </w:rPr>
      </w:pPr>
    </w:p>
    <w:p>
      <w:pPr>
        <w:spacing w:line="360" w:lineRule="auto"/>
        <w:rPr>
          <w:rFonts w:hint="eastAsia" w:ascii="仿宋" w:hAnsi="仿宋" w:eastAsia="仿宋" w:cs="仿宋"/>
          <w:color w:val="auto"/>
          <w:sz w:val="28"/>
          <w:szCs w:val="28"/>
          <w:shd w:val="clear" w:color="auto" w:fill="auto"/>
          <w:lang w:eastAsia="zh-CN"/>
        </w:rPr>
      </w:pPr>
    </w:p>
    <w:p>
      <w:pPr>
        <w:spacing w:line="360" w:lineRule="auto"/>
        <w:ind w:firstLine="840" w:firstLineChars="300"/>
        <w:rPr>
          <w:rFonts w:hint="eastAsia" w:ascii="仿宋" w:hAnsi="仿宋" w:eastAsia="仿宋" w:cs="仿宋"/>
          <w:color w:val="auto"/>
          <w:sz w:val="28"/>
          <w:szCs w:val="28"/>
          <w:shd w:val="clear" w:color="auto" w:fill="auto"/>
        </w:rPr>
      </w:pPr>
      <w:r>
        <w:rPr>
          <w:rFonts w:hint="eastAsia" w:ascii="仿宋" w:hAnsi="仿宋" w:eastAsia="仿宋" w:cs="仿宋"/>
          <w:color w:val="auto"/>
          <w:sz w:val="28"/>
          <w:szCs w:val="28"/>
          <w:shd w:val="clear" w:color="auto" w:fill="auto"/>
          <w:lang w:eastAsia="zh-CN"/>
        </w:rPr>
        <w:t>建</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设</w:t>
      </w:r>
      <w:r>
        <w:rPr>
          <w:rFonts w:hint="eastAsia" w:ascii="仿宋" w:hAnsi="仿宋" w:eastAsia="仿宋" w:cs="仿宋"/>
          <w:color w:val="auto"/>
          <w:sz w:val="28"/>
          <w:szCs w:val="28"/>
          <w:shd w:val="clear" w:color="auto" w:fill="auto"/>
        </w:rPr>
        <w:t xml:space="preserve">  单  位：</w:t>
      </w:r>
      <w:r>
        <w:rPr>
          <w:rFonts w:hint="eastAsia" w:ascii="仿宋" w:hAnsi="仿宋" w:eastAsia="仿宋" w:cs="仿宋"/>
          <w:color w:val="auto"/>
          <w:sz w:val="28"/>
          <w:szCs w:val="28"/>
          <w:u w:val="none"/>
          <w:lang w:eastAsia="zh-CN"/>
        </w:rPr>
        <w:t>池州市姚街新冲铅锌矿有限公司</w:t>
      </w:r>
    </w:p>
    <w:p>
      <w:pPr>
        <w:spacing w:line="360" w:lineRule="auto"/>
        <w:ind w:firstLine="840" w:firstLineChars="300"/>
        <w:rPr>
          <w:rFonts w:hint="eastAsia" w:ascii="仿宋" w:hAnsi="仿宋" w:eastAsia="仿宋" w:cs="仿宋"/>
          <w:color w:val="FF0000"/>
          <w:sz w:val="28"/>
          <w:szCs w:val="28"/>
          <w:shd w:val="clear" w:color="auto" w:fill="auto"/>
        </w:rPr>
      </w:pPr>
      <w:r>
        <w:rPr>
          <w:rFonts w:hint="eastAsia" w:ascii="仿宋" w:hAnsi="仿宋" w:eastAsia="仿宋" w:cs="仿宋"/>
          <w:color w:val="auto"/>
          <w:sz w:val="28"/>
          <w:szCs w:val="28"/>
          <w:shd w:val="clear" w:color="auto" w:fill="auto"/>
          <w:lang w:eastAsia="zh-CN"/>
        </w:rPr>
        <w:t>法</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人</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代</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表</w:t>
      </w:r>
      <w:r>
        <w:rPr>
          <w:rFonts w:hint="eastAsia" w:ascii="仿宋" w:hAnsi="仿宋" w:eastAsia="仿宋" w:cs="仿宋"/>
          <w:color w:val="auto"/>
          <w:sz w:val="28"/>
          <w:szCs w:val="28"/>
          <w:shd w:val="clear" w:color="auto" w:fill="auto"/>
        </w:rPr>
        <w:t>：</w:t>
      </w:r>
      <w:r>
        <w:rPr>
          <w:rFonts w:hint="eastAsia" w:ascii="仿宋" w:hAnsi="仿宋" w:eastAsia="仿宋" w:cs="仿宋"/>
          <w:color w:val="auto"/>
          <w:sz w:val="28"/>
          <w:szCs w:val="28"/>
          <w:shd w:val="clear" w:color="auto" w:fill="auto"/>
          <w:lang w:eastAsia="zh-CN"/>
        </w:rPr>
        <w:t>温奕峰</w:t>
      </w:r>
    </w:p>
    <w:p>
      <w:pPr>
        <w:spacing w:line="360" w:lineRule="auto"/>
        <w:rPr>
          <w:rFonts w:hint="eastAsia" w:ascii="仿宋" w:hAnsi="仿宋" w:eastAsia="仿宋" w:cs="仿宋"/>
          <w:color w:val="auto"/>
          <w:sz w:val="28"/>
          <w:szCs w:val="28"/>
          <w:shd w:val="clear" w:color="auto" w:fill="auto"/>
          <w:lang w:val="en-US" w:eastAsia="zh-CN"/>
        </w:rPr>
      </w:pPr>
    </w:p>
    <w:p>
      <w:pPr>
        <w:ind w:firstLine="840" w:firstLineChars="300"/>
        <w:rPr>
          <w:rFonts w:hint="eastAsia" w:ascii="仿宋" w:hAnsi="仿宋" w:eastAsia="仿宋" w:cs="仿宋"/>
          <w:color w:val="auto"/>
          <w:sz w:val="28"/>
          <w:szCs w:val="28"/>
          <w:shd w:val="clear" w:color="auto" w:fill="auto"/>
        </w:rPr>
      </w:pPr>
      <w:r>
        <w:rPr>
          <w:rFonts w:hint="eastAsia" w:ascii="仿宋" w:hAnsi="仿宋" w:eastAsia="仿宋" w:cs="仿宋"/>
          <w:color w:val="auto"/>
          <w:sz w:val="28"/>
          <w:szCs w:val="28"/>
          <w:shd w:val="clear" w:color="auto" w:fill="auto"/>
          <w:lang w:eastAsia="zh-CN"/>
        </w:rPr>
        <w:t>编</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制</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单</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位</w:t>
      </w:r>
      <w:r>
        <w:rPr>
          <w:rFonts w:hint="eastAsia" w:ascii="仿宋" w:hAnsi="仿宋" w:eastAsia="仿宋" w:cs="仿宋"/>
          <w:color w:val="auto"/>
          <w:sz w:val="28"/>
          <w:szCs w:val="28"/>
          <w:shd w:val="clear" w:color="auto" w:fill="auto"/>
        </w:rPr>
        <w:t>：</w:t>
      </w:r>
      <w:r>
        <w:rPr>
          <w:rFonts w:hint="eastAsia" w:ascii="仿宋" w:hAnsi="仿宋" w:eastAsia="仿宋" w:cs="仿宋"/>
          <w:color w:val="auto"/>
          <w:sz w:val="28"/>
          <w:szCs w:val="28"/>
          <w:shd w:val="clear" w:color="auto" w:fill="auto"/>
          <w:lang w:eastAsia="zh-CN"/>
        </w:rPr>
        <w:t>安徽环科检测中心有限公司</w:t>
      </w:r>
    </w:p>
    <w:p>
      <w:pPr>
        <w:ind w:firstLine="840" w:firstLineChars="300"/>
        <w:rPr>
          <w:rFonts w:hint="eastAsia" w:ascii="仿宋" w:hAnsi="仿宋" w:eastAsia="仿宋" w:cs="仿宋"/>
          <w:color w:val="FF0000"/>
          <w:sz w:val="28"/>
          <w:szCs w:val="28"/>
          <w:shd w:val="clear" w:color="auto" w:fill="auto"/>
        </w:rPr>
      </w:pPr>
      <w:r>
        <w:rPr>
          <w:rFonts w:hint="eastAsia" w:ascii="仿宋" w:hAnsi="仿宋" w:eastAsia="仿宋" w:cs="仿宋"/>
          <w:color w:val="auto"/>
          <w:sz w:val="28"/>
          <w:szCs w:val="28"/>
          <w:shd w:val="clear" w:color="auto" w:fill="auto"/>
          <w:lang w:eastAsia="zh-CN"/>
        </w:rPr>
        <w:t>法</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人</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代</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表</w:t>
      </w:r>
      <w:r>
        <w:rPr>
          <w:rFonts w:hint="eastAsia" w:ascii="仿宋" w:hAnsi="仿宋" w:eastAsia="仿宋" w:cs="仿宋"/>
          <w:color w:val="auto"/>
          <w:sz w:val="28"/>
          <w:szCs w:val="28"/>
          <w:shd w:val="clear" w:color="auto" w:fill="auto"/>
        </w:rPr>
        <w:t>：</w:t>
      </w:r>
      <w:r>
        <w:rPr>
          <w:rFonts w:hint="eastAsia" w:ascii="仿宋" w:hAnsi="仿宋" w:eastAsia="仿宋" w:cs="仿宋"/>
          <w:color w:val="auto"/>
          <w:sz w:val="28"/>
          <w:szCs w:val="28"/>
          <w:shd w:val="clear" w:color="auto" w:fill="auto"/>
          <w:lang w:eastAsia="zh-CN"/>
        </w:rPr>
        <w:t>孙国文</w:t>
      </w:r>
    </w:p>
    <w:p>
      <w:pPr>
        <w:ind w:firstLine="840" w:firstLineChars="300"/>
        <w:rPr>
          <w:rFonts w:hint="eastAsia" w:ascii="仿宋" w:hAnsi="仿宋" w:eastAsia="仿宋" w:cs="仿宋"/>
          <w:color w:val="auto"/>
          <w:sz w:val="28"/>
          <w:szCs w:val="28"/>
          <w:shd w:val="clear" w:color="auto" w:fill="auto"/>
          <w:lang w:eastAsia="zh-CN"/>
        </w:rPr>
      </w:pPr>
      <w:r>
        <w:rPr>
          <w:rFonts w:hint="eastAsia" w:ascii="仿宋" w:hAnsi="仿宋" w:eastAsia="仿宋" w:cs="仿宋"/>
          <w:color w:val="auto"/>
          <w:sz w:val="28"/>
          <w:szCs w:val="28"/>
          <w:shd w:val="clear" w:color="auto" w:fill="auto"/>
          <w:lang w:eastAsia="zh-CN"/>
        </w:rPr>
        <w:t>项</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目</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负</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责</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人：鲍</w:t>
      </w:r>
      <w:r>
        <w:rPr>
          <w:rFonts w:hint="eastAsia" w:ascii="仿宋" w:hAnsi="仿宋" w:eastAsia="仿宋" w:cs="仿宋"/>
          <w:color w:val="auto"/>
          <w:sz w:val="28"/>
          <w:szCs w:val="28"/>
          <w:shd w:val="clear" w:color="auto" w:fill="auto"/>
          <w:lang w:val="en-US" w:eastAsia="zh-CN"/>
        </w:rPr>
        <w:t xml:space="preserve">  </w:t>
      </w:r>
      <w:r>
        <w:rPr>
          <w:rFonts w:hint="eastAsia" w:ascii="仿宋" w:hAnsi="仿宋" w:eastAsia="仿宋" w:cs="仿宋"/>
          <w:color w:val="auto"/>
          <w:sz w:val="28"/>
          <w:szCs w:val="28"/>
          <w:shd w:val="clear" w:color="auto" w:fill="auto"/>
          <w:lang w:eastAsia="zh-CN"/>
        </w:rPr>
        <w:t>君</w:t>
      </w:r>
    </w:p>
    <w:p>
      <w:pPr>
        <w:rPr>
          <w:rFonts w:hint="eastAsia" w:ascii="仿宋" w:hAnsi="仿宋" w:eastAsia="仿宋" w:cs="仿宋"/>
          <w:color w:val="auto"/>
          <w:sz w:val="28"/>
          <w:szCs w:val="28"/>
          <w:shd w:val="clear" w:color="auto" w:fill="auto"/>
        </w:rPr>
      </w:pPr>
    </w:p>
    <w:p>
      <w:pPr>
        <w:rPr>
          <w:rFonts w:hint="eastAsia" w:ascii="仿宋" w:hAnsi="仿宋" w:eastAsia="仿宋" w:cs="仿宋"/>
          <w:color w:val="auto"/>
          <w:sz w:val="28"/>
          <w:szCs w:val="28"/>
          <w:shd w:val="clear" w:color="auto" w:fill="auto"/>
        </w:rPr>
      </w:pPr>
    </w:p>
    <w:p>
      <w:pPr>
        <w:rPr>
          <w:rFonts w:ascii="Times New Roman" w:hAnsi="Times New Roman" w:cs="Times New Roman"/>
          <w:color w:val="auto"/>
          <w:sz w:val="28"/>
          <w:szCs w:val="28"/>
          <w:shd w:val="clear" w:color="auto" w:fill="auto"/>
        </w:rPr>
      </w:pPr>
    </w:p>
    <w:p>
      <w:pPr>
        <w:pStyle w:val="2"/>
        <w:rPr>
          <w:rFonts w:ascii="Times New Roman" w:hAnsi="Times New Roman" w:cs="Times New Roman"/>
          <w:color w:val="auto"/>
          <w:sz w:val="28"/>
          <w:szCs w:val="28"/>
          <w:shd w:val="clear" w:color="auto" w:fill="auto"/>
        </w:rPr>
      </w:pPr>
    </w:p>
    <w:p>
      <w:pPr>
        <w:pStyle w:val="2"/>
        <w:rPr>
          <w:rFonts w:ascii="Times New Roman" w:hAnsi="Times New Roman" w:cs="Times New Roman"/>
          <w:color w:val="auto"/>
          <w:sz w:val="28"/>
          <w:szCs w:val="28"/>
          <w:shd w:val="clear" w:color="auto" w:fill="auto"/>
        </w:rPr>
      </w:pPr>
    </w:p>
    <w:p>
      <w:pPr>
        <w:pStyle w:val="2"/>
        <w:rPr>
          <w:rFonts w:ascii="Times New Roman" w:hAnsi="Times New Roman" w:cs="Times New Roman"/>
          <w:color w:val="auto"/>
          <w:sz w:val="28"/>
          <w:szCs w:val="28"/>
          <w:shd w:val="clear" w:color="auto" w:fill="auto"/>
        </w:rPr>
      </w:pPr>
    </w:p>
    <w:p>
      <w:pPr>
        <w:pStyle w:val="2"/>
        <w:rPr>
          <w:rFonts w:ascii="Times New Roman" w:hAnsi="Times New Roman" w:cs="Times New Roman"/>
          <w:color w:val="auto"/>
          <w:sz w:val="28"/>
          <w:szCs w:val="28"/>
          <w:shd w:val="clear" w:color="auto" w:fill="auto"/>
        </w:rPr>
      </w:pPr>
    </w:p>
    <w:p>
      <w:pPr>
        <w:rPr>
          <w:rFonts w:ascii="Times New Roman" w:hAnsi="Times New Roman" w:cs="Times New Roman"/>
          <w:color w:val="auto"/>
          <w:shd w:val="clear" w:color="auto" w:fill="auto"/>
        </w:rPr>
      </w:pPr>
    </w:p>
    <w:p>
      <w:pPr>
        <w:rPr>
          <w:rFonts w:hint="eastAsia" w:ascii="Times New Roman" w:hAnsi="Times New Roman" w:cs="Times New Roman"/>
          <w:color w:val="auto"/>
          <w:shd w:val="clear" w:color="auto" w:fill="auto"/>
          <w:lang w:eastAsia="zh-CN"/>
        </w:rPr>
      </w:pPr>
    </w:p>
    <w:p>
      <w:pPr>
        <w:rPr>
          <w:rFonts w:hint="eastAsia" w:ascii="Times New Roman" w:hAnsi="Times New Roman" w:cs="Times New Roman"/>
          <w:color w:val="auto"/>
          <w:shd w:val="clear" w:color="auto" w:fill="auto"/>
          <w:lang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jc w:val="both"/>
        <w:textAlignment w:val="auto"/>
        <w:outlineLvl w:val="9"/>
        <w:rPr>
          <w:rFonts w:hint="default" w:ascii="Times New Roman" w:hAnsi="Times New Roman" w:eastAsia="仿宋" w:cs="Times New Roman"/>
          <w:b/>
          <w:bCs/>
          <w:color w:val="auto"/>
          <w:shd w:val="clear" w:color="auto" w:fill="auto"/>
        </w:rPr>
      </w:pPr>
      <w:r>
        <w:rPr>
          <w:rFonts w:hint="eastAsia" w:eastAsia="仿宋" w:cs="Times New Roman"/>
          <w:b/>
          <w:bCs/>
          <w:color w:val="auto"/>
          <w:shd w:val="clear" w:color="auto" w:fill="auto"/>
          <w:lang w:eastAsia="zh-CN"/>
        </w:rPr>
        <w:t>建设单位：</w:t>
      </w:r>
      <w:r>
        <w:rPr>
          <w:rFonts w:hint="eastAsia" w:ascii="仿宋" w:hAnsi="仿宋" w:eastAsia="仿宋" w:cs="仿宋"/>
          <w:color w:val="auto"/>
          <w:sz w:val="24"/>
          <w:szCs w:val="24"/>
          <w:u w:val="none"/>
          <w:lang w:eastAsia="zh-CN"/>
        </w:rPr>
        <w:t>池州市姚街新冲铅锌矿有限公司</w:t>
      </w:r>
      <w:r>
        <w:rPr>
          <w:rFonts w:hint="eastAsia" w:eastAsia="仿宋" w:cs="Times New Roman"/>
          <w:b w:val="0"/>
          <w:bCs w:val="0"/>
          <w:color w:val="auto"/>
          <w:shd w:val="clear" w:color="auto" w:fill="auto"/>
          <w:lang w:val="en-US" w:eastAsia="zh-CN"/>
        </w:rPr>
        <w:tab/>
      </w:r>
      <w:r>
        <w:rPr>
          <w:rFonts w:hint="eastAsia" w:eastAsia="仿宋" w:cs="Times New Roman"/>
          <w:b/>
          <w:bCs/>
          <w:color w:val="auto"/>
          <w:shd w:val="clear" w:color="auto" w:fill="auto"/>
          <w:lang w:val="en-US" w:eastAsia="zh-CN"/>
        </w:rPr>
        <w:t>编制单位：</w:t>
      </w:r>
      <w:r>
        <w:rPr>
          <w:rFonts w:hint="default" w:ascii="Times New Roman" w:hAnsi="Times New Roman" w:eastAsia="仿宋" w:cs="Times New Roman"/>
          <w:b w:val="0"/>
          <w:bCs w:val="0"/>
          <w:color w:val="auto"/>
          <w:shd w:val="clear" w:color="auto" w:fill="auto"/>
          <w:lang w:eastAsia="zh-CN"/>
        </w:rPr>
        <w:t>安徽环科检测中心有限公司</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jc w:val="both"/>
        <w:textAlignment w:val="auto"/>
        <w:outlineLvl w:val="9"/>
        <w:rPr>
          <w:rFonts w:hint="default" w:ascii="Times New Roman" w:hAnsi="Times New Roman" w:eastAsia="仿宋" w:cs="Times New Roman"/>
          <w:color w:val="auto"/>
          <w:shd w:val="clear" w:color="auto" w:fill="auto"/>
        </w:rPr>
      </w:pPr>
      <w:r>
        <w:rPr>
          <w:rFonts w:hint="default" w:ascii="Times New Roman" w:hAnsi="Times New Roman" w:eastAsia="仿宋" w:cs="Times New Roman"/>
          <w:b/>
          <w:bCs/>
          <w:color w:val="auto"/>
          <w:shd w:val="clear" w:color="auto" w:fill="auto"/>
        </w:rPr>
        <w:t>电话：</w:t>
      </w:r>
      <w:r>
        <w:rPr>
          <w:rFonts w:hint="eastAsia" w:eastAsia="仿宋" w:cs="Times New Roman"/>
          <w:b w:val="0"/>
          <w:bCs w:val="0"/>
          <w:color w:val="auto"/>
          <w:shd w:val="clear" w:color="auto" w:fill="auto"/>
          <w:lang w:val="en-US" w:eastAsia="zh-CN"/>
        </w:rPr>
        <w:t>0566-4657263</w:t>
      </w:r>
      <w:r>
        <w:rPr>
          <w:rFonts w:hint="eastAsia" w:eastAsia="仿宋" w:cs="Times New Roman"/>
          <w:color w:val="auto"/>
          <w:shd w:val="clear" w:color="auto" w:fill="auto"/>
          <w:lang w:val="en-US" w:eastAsia="zh-CN"/>
        </w:rPr>
        <w:t xml:space="preserve">                     </w:t>
      </w:r>
      <w:r>
        <w:rPr>
          <w:rFonts w:hint="eastAsia" w:eastAsia="仿宋" w:cs="Times New Roman"/>
          <w:color w:val="auto"/>
          <w:shd w:val="clear" w:color="auto" w:fill="auto"/>
          <w:lang w:val="en-US" w:eastAsia="zh-CN"/>
        </w:rPr>
        <w:tab/>
      </w:r>
      <w:r>
        <w:rPr>
          <w:rFonts w:hint="eastAsia" w:eastAsia="仿宋" w:cs="Times New Roman"/>
          <w:b/>
          <w:bCs/>
          <w:color w:val="auto"/>
          <w:shd w:val="clear" w:color="auto" w:fill="auto"/>
          <w:lang w:val="en-US" w:eastAsia="zh-CN"/>
        </w:rPr>
        <w:t>电话：</w:t>
      </w:r>
      <w:r>
        <w:rPr>
          <w:rFonts w:hint="default" w:ascii="Times New Roman" w:hAnsi="Times New Roman" w:eastAsia="仿宋" w:cs="Times New Roman"/>
          <w:color w:val="auto"/>
          <w:shd w:val="clear" w:color="auto" w:fill="auto"/>
        </w:rPr>
        <w:t>0551-65797127</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jc w:val="both"/>
        <w:textAlignment w:val="auto"/>
        <w:outlineLvl w:val="9"/>
        <w:rPr>
          <w:rFonts w:hint="default" w:ascii="Times New Roman" w:hAnsi="Times New Roman" w:eastAsia="仿宋" w:cs="Times New Roman"/>
          <w:color w:val="auto"/>
          <w:shd w:val="clear" w:color="auto" w:fill="auto"/>
        </w:rPr>
      </w:pPr>
      <w:r>
        <w:rPr>
          <w:rFonts w:hint="default" w:ascii="Times New Roman" w:hAnsi="Times New Roman" w:eastAsia="仿宋" w:cs="Times New Roman"/>
          <w:b/>
          <w:bCs/>
          <w:color w:val="auto"/>
          <w:shd w:val="clear" w:color="auto" w:fill="auto"/>
        </w:rPr>
        <w:t>传真：</w:t>
      </w:r>
      <w:r>
        <w:rPr>
          <w:rFonts w:hint="eastAsia" w:eastAsia="仿宋" w:cs="Times New Roman"/>
          <w:b/>
          <w:bCs/>
          <w:color w:val="auto"/>
          <w:shd w:val="clear" w:color="auto" w:fill="auto"/>
          <w:lang w:val="en-US" w:eastAsia="zh-CN"/>
        </w:rPr>
        <w:t xml:space="preserve">/            </w:t>
      </w:r>
      <w:r>
        <w:rPr>
          <w:rFonts w:hint="eastAsia" w:eastAsia="仿宋" w:cs="Times New Roman"/>
          <w:color w:val="FF0000"/>
          <w:shd w:val="clear" w:color="auto" w:fill="auto"/>
          <w:lang w:val="en-US" w:eastAsia="zh-CN"/>
        </w:rPr>
        <w:t xml:space="preserve">                    </w:t>
      </w:r>
      <w:r>
        <w:rPr>
          <w:rFonts w:hint="eastAsia" w:eastAsia="仿宋" w:cs="Times New Roman"/>
          <w:color w:val="FF0000"/>
          <w:shd w:val="clear" w:color="auto" w:fill="auto"/>
          <w:lang w:val="en-US" w:eastAsia="zh-CN"/>
        </w:rPr>
        <w:tab/>
      </w:r>
      <w:r>
        <w:rPr>
          <w:rFonts w:hint="eastAsia" w:eastAsia="仿宋" w:cs="Times New Roman"/>
          <w:b/>
          <w:bCs/>
          <w:color w:val="auto"/>
          <w:shd w:val="clear" w:color="auto" w:fill="auto"/>
          <w:lang w:val="en-US" w:eastAsia="zh-CN"/>
        </w:rPr>
        <w:t>传真：</w:t>
      </w:r>
      <w:r>
        <w:rPr>
          <w:rFonts w:hint="default" w:ascii="Times New Roman" w:hAnsi="Times New Roman" w:eastAsia="仿宋" w:cs="Times New Roman"/>
          <w:color w:val="auto"/>
          <w:shd w:val="clear" w:color="auto" w:fill="auto"/>
        </w:rPr>
        <w:t>0551-65797126</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jc w:val="both"/>
        <w:textAlignment w:val="auto"/>
        <w:outlineLvl w:val="9"/>
        <w:rPr>
          <w:rFonts w:hint="default" w:ascii="Times New Roman" w:hAnsi="Times New Roman" w:eastAsia="仿宋" w:cs="Times New Roman"/>
          <w:color w:val="FF0000"/>
          <w:shd w:val="clear" w:color="auto" w:fill="auto"/>
        </w:rPr>
      </w:pPr>
      <w:r>
        <w:rPr>
          <w:rFonts w:hint="default" w:ascii="Times New Roman" w:hAnsi="Times New Roman" w:eastAsia="仿宋" w:cs="Times New Roman"/>
          <w:b/>
          <w:bCs/>
          <w:color w:val="auto"/>
          <w:shd w:val="clear" w:color="auto" w:fill="auto"/>
        </w:rPr>
        <w:t>邮编：</w:t>
      </w:r>
      <w:r>
        <w:rPr>
          <w:rFonts w:hint="default" w:ascii="Times New Roman" w:hAnsi="Times New Roman" w:eastAsia="仿宋" w:cs="Times New Roman"/>
          <w:color w:val="auto"/>
          <w:shd w:val="clear" w:color="auto" w:fill="auto"/>
        </w:rPr>
        <w:t>2</w:t>
      </w:r>
      <w:r>
        <w:rPr>
          <w:rFonts w:hint="eastAsia" w:eastAsia="仿宋" w:cs="Times New Roman"/>
          <w:color w:val="auto"/>
          <w:shd w:val="clear" w:color="auto" w:fill="auto"/>
          <w:lang w:val="en-US" w:eastAsia="zh-CN"/>
        </w:rPr>
        <w:t>47120</w:t>
      </w:r>
      <w:r>
        <w:rPr>
          <w:rFonts w:hint="eastAsia" w:eastAsia="仿宋" w:cs="Times New Roman"/>
          <w:color w:val="FF0000"/>
          <w:shd w:val="clear" w:color="auto" w:fill="auto"/>
          <w:lang w:val="en-US" w:eastAsia="zh-CN"/>
        </w:rPr>
        <w:t xml:space="preserve">                          </w:t>
      </w:r>
      <w:r>
        <w:rPr>
          <w:rFonts w:hint="eastAsia" w:eastAsia="仿宋" w:cs="Times New Roman"/>
          <w:color w:val="FF0000"/>
          <w:shd w:val="clear" w:color="auto" w:fill="auto"/>
          <w:lang w:val="en-US" w:eastAsia="zh-CN"/>
        </w:rPr>
        <w:tab/>
      </w:r>
      <w:r>
        <w:rPr>
          <w:rFonts w:hint="eastAsia" w:eastAsia="仿宋" w:cs="Times New Roman"/>
          <w:b/>
          <w:bCs/>
          <w:color w:val="auto"/>
          <w:shd w:val="clear" w:color="auto" w:fill="auto"/>
          <w:lang w:val="en-US" w:eastAsia="zh-CN"/>
        </w:rPr>
        <w:t>邮编：</w:t>
      </w:r>
      <w:r>
        <w:rPr>
          <w:rFonts w:hint="default" w:ascii="Times New Roman" w:hAnsi="Times New Roman" w:eastAsia="仿宋" w:cs="Times New Roman"/>
          <w:color w:val="auto"/>
          <w:shd w:val="clear" w:color="auto" w:fill="auto"/>
        </w:rPr>
        <w:t>230001</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jc w:val="both"/>
        <w:textAlignment w:val="auto"/>
        <w:outlineLvl w:val="9"/>
        <w:rPr>
          <w:rFonts w:hint="default" w:ascii="Times New Roman" w:hAnsi="Times New Roman" w:eastAsia="仿宋" w:cs="Times New Roman"/>
          <w:color w:val="auto"/>
          <w:shd w:val="clear" w:color="auto" w:fill="auto"/>
        </w:rPr>
      </w:pPr>
      <w:r>
        <w:rPr>
          <w:rFonts w:hint="default" w:ascii="Times New Roman" w:hAnsi="Times New Roman" w:eastAsia="仿宋" w:cs="Times New Roman"/>
          <w:b/>
          <w:bCs/>
          <w:color w:val="auto"/>
          <w:shd w:val="clear" w:color="auto" w:fill="auto"/>
        </w:rPr>
        <w:t>地址：</w:t>
      </w:r>
      <w:r>
        <w:rPr>
          <w:rFonts w:hint="eastAsia" w:eastAsia="仿宋" w:cs="Times New Roman"/>
          <w:color w:val="auto"/>
          <w:shd w:val="clear" w:color="auto" w:fill="auto"/>
          <w:lang w:eastAsia="zh-CN"/>
        </w:rPr>
        <w:t>池州市贵池区梅街镇姚街村</w:t>
      </w:r>
      <w:r>
        <w:rPr>
          <w:rFonts w:hint="eastAsia" w:eastAsia="仿宋" w:cs="Times New Roman"/>
          <w:color w:val="auto"/>
          <w:shd w:val="clear" w:color="auto" w:fill="auto"/>
          <w:lang w:val="en-US" w:eastAsia="zh-CN"/>
        </w:rPr>
        <w:t xml:space="preserve">        </w:t>
      </w:r>
      <w:r>
        <w:rPr>
          <w:rFonts w:hint="eastAsia" w:eastAsia="仿宋" w:cs="Times New Roman"/>
          <w:color w:val="auto"/>
          <w:shd w:val="clear" w:color="auto" w:fill="auto"/>
          <w:lang w:val="en-US" w:eastAsia="zh-CN"/>
        </w:rPr>
        <w:tab/>
      </w:r>
      <w:r>
        <w:rPr>
          <w:rFonts w:hint="eastAsia" w:eastAsia="仿宋" w:cs="Times New Roman"/>
          <w:b/>
          <w:bCs/>
          <w:color w:val="auto"/>
          <w:shd w:val="clear" w:color="auto" w:fill="auto"/>
          <w:lang w:val="en-US" w:eastAsia="zh-CN"/>
        </w:rPr>
        <w:t>地址：</w:t>
      </w:r>
      <w:r>
        <w:rPr>
          <w:rFonts w:hint="default" w:ascii="Times New Roman" w:hAnsi="Times New Roman" w:eastAsia="仿宋" w:cs="Times New Roman"/>
          <w:color w:val="auto"/>
          <w:shd w:val="clear" w:color="auto" w:fill="auto"/>
        </w:rPr>
        <w:t>合肥市</w:t>
      </w:r>
      <w:r>
        <w:rPr>
          <w:rFonts w:hint="default" w:ascii="Times New Roman" w:hAnsi="Times New Roman" w:eastAsia="仿宋" w:cs="Times New Roman"/>
          <w:color w:val="auto"/>
          <w:shd w:val="clear" w:color="auto" w:fill="auto"/>
          <w:lang w:val="en-US" w:eastAsia="zh-CN"/>
        </w:rPr>
        <w:t>高新</w:t>
      </w:r>
      <w:r>
        <w:rPr>
          <w:rFonts w:hint="default" w:ascii="Times New Roman" w:hAnsi="Times New Roman" w:eastAsia="仿宋" w:cs="Times New Roman"/>
          <w:color w:val="auto"/>
          <w:shd w:val="clear" w:color="auto" w:fill="auto"/>
        </w:rPr>
        <w:t>区</w:t>
      </w:r>
      <w:r>
        <w:rPr>
          <w:rFonts w:hint="default" w:ascii="Times New Roman" w:hAnsi="Times New Roman" w:eastAsia="仿宋" w:cs="Times New Roman"/>
          <w:color w:val="auto"/>
          <w:shd w:val="clear" w:color="auto" w:fill="auto"/>
          <w:lang w:val="en-US" w:eastAsia="zh-CN"/>
        </w:rPr>
        <w:t>创新大道2800</w:t>
      </w:r>
      <w:r>
        <w:rPr>
          <w:rFonts w:hint="default" w:ascii="Times New Roman" w:hAnsi="Times New Roman" w:eastAsia="仿宋" w:cs="Times New Roman"/>
          <w:color w:val="auto"/>
          <w:shd w:val="clear" w:color="auto" w:fill="auto"/>
        </w:rPr>
        <w:t>号</w:t>
      </w:r>
    </w:p>
    <w:p>
      <w:pPr>
        <w:pStyle w:val="2"/>
        <w:rPr>
          <w:rFonts w:hint="default"/>
          <w:color w:val="auto"/>
        </w:rPr>
      </w:pPr>
    </w:p>
    <w:p>
      <w:pPr>
        <w:pStyle w:val="2"/>
        <w:rPr>
          <w:rFonts w:hint="default"/>
          <w:color w:val="auto"/>
        </w:rPr>
      </w:pPr>
    </w:p>
    <w:p>
      <w:pPr>
        <w:pStyle w:val="2"/>
        <w:rPr>
          <w:rFonts w:hint="default"/>
          <w:color w:val="auto"/>
        </w:rPr>
      </w:pPr>
    </w:p>
    <w:p>
      <w:pPr>
        <w:pStyle w:val="2"/>
        <w:rPr>
          <w:rFonts w:hint="default"/>
          <w:color w:val="auto"/>
        </w:rPr>
      </w:pPr>
    </w:p>
    <w:p>
      <w:pPr>
        <w:pStyle w:val="2"/>
        <w:rPr>
          <w:rFonts w:hint="default"/>
          <w:color w:val="auto"/>
        </w:rPr>
      </w:pPr>
    </w:p>
    <w:p/>
    <w:p>
      <w:pPr>
        <w:pStyle w:val="18"/>
        <w:sectPr>
          <w:headerReference r:id="rId4" w:type="default"/>
          <w:pgSz w:w="11906" w:h="16838"/>
          <w:pgMar w:top="1043" w:right="1236" w:bottom="1043" w:left="1236" w:header="851" w:footer="992" w:gutter="0"/>
          <w:pgBorders>
            <w:top w:val="none" w:sz="0" w:space="0"/>
            <w:left w:val="none" w:sz="0" w:space="0"/>
            <w:bottom w:val="none" w:sz="0" w:space="0"/>
            <w:right w:val="none" w:sz="0" w:space="0"/>
          </w:pgBorders>
          <w:cols w:space="0" w:num="1"/>
          <w:rtlGutter w:val="0"/>
          <w:docGrid w:type="lines" w:linePitch="312" w:charSpace="0"/>
        </w:sectPr>
      </w:pPr>
    </w:p>
    <w:p>
      <w:pPr>
        <w:pStyle w:val="18"/>
      </w:pPr>
    </w:p>
    <w:p>
      <w:pPr>
        <w:pStyle w:val="18"/>
      </w:pPr>
    </w:p>
    <w:p>
      <w:pPr>
        <w:jc w:val="center"/>
        <w:outlineLvl w:val="9"/>
        <w:rPr>
          <w:rFonts w:hint="eastAsia"/>
          <w:b/>
          <w:color w:val="auto"/>
          <w:sz w:val="44"/>
          <w:szCs w:val="44"/>
          <w:shd w:val="clear" w:color="auto" w:fill="auto"/>
        </w:rPr>
      </w:pPr>
      <w:bookmarkStart w:id="0" w:name="_Toc13200"/>
      <w:bookmarkStart w:id="1" w:name="_Toc466128741"/>
      <w:bookmarkStart w:id="2" w:name="_Toc466128301"/>
      <w:bookmarkStart w:id="3" w:name="_Toc15251"/>
      <w:r>
        <w:rPr>
          <w:rFonts w:hint="eastAsia"/>
          <w:b/>
          <w:color w:val="auto"/>
          <w:sz w:val="44"/>
          <w:szCs w:val="44"/>
          <w:shd w:val="clear" w:color="auto" w:fill="auto"/>
        </w:rPr>
        <w:t>目</w:t>
      </w:r>
      <w:r>
        <w:rPr>
          <w:rFonts w:hint="eastAsia"/>
          <w:b/>
          <w:color w:val="auto"/>
          <w:sz w:val="44"/>
          <w:szCs w:val="44"/>
          <w:shd w:val="clear" w:color="auto" w:fill="auto"/>
          <w:lang w:val="en-US" w:eastAsia="zh-CN"/>
        </w:rPr>
        <w:t xml:space="preserve">  </w:t>
      </w:r>
      <w:r>
        <w:rPr>
          <w:rFonts w:hint="eastAsia"/>
          <w:b/>
          <w:color w:val="auto"/>
          <w:sz w:val="44"/>
          <w:szCs w:val="44"/>
          <w:shd w:val="clear" w:color="auto" w:fill="auto"/>
        </w:rPr>
        <w:t>录</w:t>
      </w:r>
      <w:bookmarkEnd w:id="0"/>
      <w:bookmarkEnd w:id="1"/>
      <w:bookmarkEnd w:id="2"/>
      <w:bookmarkEnd w:id="3"/>
    </w:p>
    <w:p>
      <w:pPr>
        <w:pStyle w:val="11"/>
        <w:tabs>
          <w:tab w:val="right" w:leader="dot" w:pos="8306"/>
        </w:tabs>
      </w:pPr>
      <w:bookmarkStart w:id="4" w:name="_Toc466128302"/>
      <w:bookmarkStart w:id="5" w:name="_Toc466128742"/>
      <w:r>
        <w:rPr>
          <w:rFonts w:hint="eastAsia"/>
          <w:color w:val="FF0000"/>
          <w:sz w:val="28"/>
          <w:szCs w:val="28"/>
          <w:shd w:val="clear" w:color="auto" w:fill="auto"/>
        </w:rPr>
        <w:fldChar w:fldCharType="begin"/>
      </w:r>
      <w:r>
        <w:rPr>
          <w:rFonts w:hint="eastAsia"/>
          <w:color w:val="FF0000"/>
          <w:sz w:val="28"/>
          <w:szCs w:val="28"/>
          <w:shd w:val="clear" w:color="auto" w:fill="auto"/>
        </w:rPr>
        <w:instrText xml:space="preserve">TOC \o "1-2" \h \u </w:instrText>
      </w:r>
      <w:r>
        <w:rPr>
          <w:rFonts w:hint="eastAsia"/>
          <w:color w:val="FF0000"/>
          <w:sz w:val="28"/>
          <w:szCs w:val="28"/>
          <w:shd w:val="clear" w:color="auto" w:fill="auto"/>
        </w:rPr>
        <w:fldChar w:fldCharType="separate"/>
      </w:r>
      <w:r>
        <w:rPr>
          <w:rFonts w:hint="eastAsia"/>
          <w:color w:val="FF0000"/>
          <w:szCs w:val="28"/>
          <w:shd w:val="clear" w:color="auto" w:fill="auto"/>
        </w:rPr>
        <w:fldChar w:fldCharType="begin"/>
      </w:r>
      <w:r>
        <w:rPr>
          <w:rFonts w:hint="eastAsia"/>
          <w:szCs w:val="28"/>
          <w:shd w:val="clear" w:color="auto" w:fill="auto"/>
        </w:rPr>
        <w:instrText xml:space="preserve"> HYPERLINK \l _Toc10631 </w:instrText>
      </w:r>
      <w:r>
        <w:rPr>
          <w:rFonts w:hint="eastAsia"/>
          <w:szCs w:val="28"/>
          <w:shd w:val="clear" w:color="auto" w:fill="auto"/>
        </w:rPr>
        <w:fldChar w:fldCharType="separate"/>
      </w:r>
      <w:r>
        <w:rPr>
          <w:rFonts w:hint="eastAsia"/>
          <w:lang w:val="en-US" w:eastAsia="zh-CN"/>
        </w:rPr>
        <w:t>前  言</w:t>
      </w:r>
      <w:r>
        <w:tab/>
      </w:r>
      <w:r>
        <w:fldChar w:fldCharType="begin"/>
      </w:r>
      <w:r>
        <w:instrText xml:space="preserve"> PAGEREF _Toc10631 </w:instrText>
      </w:r>
      <w:r>
        <w:fldChar w:fldCharType="separate"/>
      </w:r>
      <w:r>
        <w:t>1</w:t>
      </w:r>
      <w:r>
        <w:fldChar w:fldCharType="end"/>
      </w:r>
      <w:r>
        <w:rPr>
          <w:rFonts w:hint="eastAsia"/>
          <w:color w:val="FF0000"/>
          <w:szCs w:val="28"/>
          <w:shd w:val="clear" w:color="auto" w:fill="auto"/>
        </w:rPr>
        <w:fldChar w:fldCharType="end"/>
      </w:r>
    </w:p>
    <w:p>
      <w:pPr>
        <w:pStyle w:val="11"/>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_Toc29258 </w:instrText>
      </w:r>
      <w:r>
        <w:rPr>
          <w:rFonts w:hint="eastAsia"/>
          <w:szCs w:val="28"/>
          <w:shd w:val="clear" w:color="auto" w:fill="auto"/>
        </w:rPr>
        <w:fldChar w:fldCharType="separate"/>
      </w:r>
      <w:r>
        <w:rPr>
          <w:rFonts w:hint="eastAsia"/>
        </w:rPr>
        <w:t>1 总论</w:t>
      </w:r>
      <w:r>
        <w:tab/>
      </w:r>
      <w:r>
        <w:fldChar w:fldCharType="begin"/>
      </w:r>
      <w:r>
        <w:instrText xml:space="preserve"> PAGEREF _Toc29258 </w:instrText>
      </w:r>
      <w:r>
        <w:fldChar w:fldCharType="separate"/>
      </w:r>
      <w:r>
        <w:t>3</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_Toc28198 </w:instrText>
      </w:r>
      <w:r>
        <w:rPr>
          <w:rFonts w:hint="eastAsia"/>
          <w:szCs w:val="28"/>
          <w:shd w:val="clear" w:color="auto" w:fill="auto"/>
        </w:rPr>
        <w:fldChar w:fldCharType="separate"/>
      </w:r>
      <w:r>
        <w:rPr>
          <w:rFonts w:hint="default"/>
        </w:rPr>
        <w:t>1.1</w:t>
      </w:r>
      <w:r>
        <w:rPr>
          <w:rFonts w:hint="eastAsia"/>
          <w:lang w:val="en-US" w:eastAsia="zh-CN"/>
        </w:rPr>
        <w:t xml:space="preserve"> </w:t>
      </w:r>
      <w:r>
        <w:rPr>
          <w:rFonts w:hint="default"/>
        </w:rPr>
        <w:t>编制依据</w:t>
      </w:r>
      <w:r>
        <w:tab/>
      </w:r>
      <w:r>
        <w:fldChar w:fldCharType="begin"/>
      </w:r>
      <w:r>
        <w:instrText xml:space="preserve"> PAGEREF _Toc28198 </w:instrText>
      </w:r>
      <w:r>
        <w:fldChar w:fldCharType="separate"/>
      </w:r>
      <w:r>
        <w:t>3</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_Toc6104 </w:instrText>
      </w:r>
      <w:r>
        <w:rPr>
          <w:rFonts w:hint="eastAsia"/>
          <w:szCs w:val="28"/>
          <w:shd w:val="clear" w:color="auto" w:fill="auto"/>
        </w:rPr>
        <w:fldChar w:fldCharType="separate"/>
      </w:r>
      <w:r>
        <w:rPr>
          <w:rFonts w:hint="default"/>
        </w:rPr>
        <w:t>1.2</w:t>
      </w:r>
      <w:r>
        <w:rPr>
          <w:rFonts w:hint="eastAsia"/>
          <w:lang w:val="en-US" w:eastAsia="zh-CN"/>
        </w:rPr>
        <w:t xml:space="preserve"> </w:t>
      </w:r>
      <w:r>
        <w:rPr>
          <w:rFonts w:hint="default"/>
        </w:rPr>
        <w:t>调查目的、原则及方法</w:t>
      </w:r>
      <w:r>
        <w:tab/>
      </w:r>
      <w:r>
        <w:fldChar w:fldCharType="begin"/>
      </w:r>
      <w:r>
        <w:instrText xml:space="preserve"> PAGEREF _Toc6104 </w:instrText>
      </w:r>
      <w:r>
        <w:fldChar w:fldCharType="separate"/>
      </w:r>
      <w:r>
        <w:t>4</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_Toc9191 </w:instrText>
      </w:r>
      <w:r>
        <w:rPr>
          <w:rFonts w:hint="eastAsia"/>
          <w:szCs w:val="28"/>
          <w:shd w:val="clear" w:color="auto" w:fill="auto"/>
        </w:rPr>
        <w:fldChar w:fldCharType="separate"/>
      </w:r>
      <w:r>
        <w:rPr>
          <w:rFonts w:hint="eastAsia"/>
          <w:lang w:val="en-US" w:eastAsia="zh-CN"/>
        </w:rPr>
        <w:t>1.3 验收调查内容</w:t>
      </w:r>
      <w:r>
        <w:tab/>
      </w:r>
      <w:r>
        <w:fldChar w:fldCharType="begin"/>
      </w:r>
      <w:r>
        <w:instrText xml:space="preserve"> PAGEREF _Toc9191 </w:instrText>
      </w:r>
      <w:r>
        <w:fldChar w:fldCharType="separate"/>
      </w:r>
      <w:r>
        <w:t>7</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_Toc376 </w:instrText>
      </w:r>
      <w:r>
        <w:rPr>
          <w:rFonts w:hint="eastAsia"/>
          <w:szCs w:val="28"/>
          <w:shd w:val="clear" w:color="auto" w:fill="auto"/>
        </w:rPr>
        <w:fldChar w:fldCharType="separate"/>
      </w:r>
      <w:r>
        <w:rPr>
          <w:rFonts w:hint="eastAsia"/>
          <w:lang w:val="en-US" w:eastAsia="zh-CN"/>
        </w:rPr>
        <w:t xml:space="preserve">1.4 </w:t>
      </w:r>
      <w:r>
        <w:t>验收调查重点</w:t>
      </w:r>
      <w:r>
        <w:tab/>
      </w:r>
      <w:r>
        <w:fldChar w:fldCharType="begin"/>
      </w:r>
      <w:r>
        <w:instrText xml:space="preserve"> PAGEREF _Toc376 </w:instrText>
      </w:r>
      <w:r>
        <w:fldChar w:fldCharType="separate"/>
      </w:r>
      <w:r>
        <w:t>9</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_Toc19446 </w:instrText>
      </w:r>
      <w:r>
        <w:rPr>
          <w:rFonts w:hint="eastAsia"/>
          <w:szCs w:val="28"/>
          <w:shd w:val="clear" w:color="auto" w:fill="auto"/>
        </w:rPr>
        <w:fldChar w:fldCharType="separate"/>
      </w:r>
      <w:r>
        <w:rPr>
          <w:rFonts w:hint="eastAsia"/>
          <w:lang w:val="en-US" w:eastAsia="zh-CN"/>
        </w:rPr>
        <w:t xml:space="preserve">1.5 </w:t>
      </w:r>
      <w:r>
        <w:t>环境敏感区及保护目标</w:t>
      </w:r>
      <w:r>
        <w:tab/>
      </w:r>
      <w:r>
        <w:fldChar w:fldCharType="begin"/>
      </w:r>
      <w:r>
        <w:instrText xml:space="preserve"> PAGEREF _Toc19446 </w:instrText>
      </w:r>
      <w:r>
        <w:fldChar w:fldCharType="separate"/>
      </w:r>
      <w:r>
        <w:t>9</w:t>
      </w:r>
      <w:r>
        <w:fldChar w:fldCharType="end"/>
      </w:r>
      <w:r>
        <w:rPr>
          <w:rFonts w:hint="eastAsia"/>
          <w:color w:val="FF0000"/>
          <w:szCs w:val="28"/>
          <w:shd w:val="clear" w:color="auto" w:fill="auto"/>
        </w:rPr>
        <w:fldChar w:fldCharType="end"/>
      </w:r>
    </w:p>
    <w:p>
      <w:pPr>
        <w:pStyle w:val="11"/>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_Toc18839 </w:instrText>
      </w:r>
      <w:r>
        <w:rPr>
          <w:rFonts w:hint="eastAsia"/>
          <w:szCs w:val="28"/>
          <w:shd w:val="clear" w:color="auto" w:fill="auto"/>
        </w:rPr>
        <w:fldChar w:fldCharType="separate"/>
      </w:r>
      <w:r>
        <w:rPr>
          <w:rFonts w:hint="eastAsia"/>
          <w:lang w:val="en-US" w:eastAsia="zh-CN"/>
        </w:rPr>
        <w:t>2</w:t>
      </w:r>
      <w:r>
        <w:rPr>
          <w:rFonts w:hint="eastAsia"/>
        </w:rPr>
        <w:t xml:space="preserve"> </w:t>
      </w:r>
      <w:r>
        <w:t>工程调查</w:t>
      </w:r>
      <w:r>
        <w:tab/>
      </w:r>
      <w:r>
        <w:fldChar w:fldCharType="begin"/>
      </w:r>
      <w:r>
        <w:instrText xml:space="preserve"> PAGEREF _Toc18839 </w:instrText>
      </w:r>
      <w:r>
        <w:fldChar w:fldCharType="separate"/>
      </w:r>
      <w:r>
        <w:t>11</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_Toc25941 </w:instrText>
      </w:r>
      <w:r>
        <w:rPr>
          <w:rFonts w:hint="eastAsia"/>
          <w:szCs w:val="28"/>
          <w:shd w:val="clear" w:color="auto" w:fill="auto"/>
        </w:rPr>
        <w:fldChar w:fldCharType="separate"/>
      </w:r>
      <w:r>
        <w:rPr>
          <w:rFonts w:hint="eastAsia"/>
          <w:lang w:val="en-US" w:eastAsia="zh-CN"/>
        </w:rPr>
        <w:t>2.1 原有项目概况</w:t>
      </w:r>
      <w:r>
        <w:tab/>
      </w:r>
      <w:r>
        <w:fldChar w:fldCharType="begin"/>
      </w:r>
      <w:r>
        <w:instrText xml:space="preserve"> PAGEREF _Toc25941 </w:instrText>
      </w:r>
      <w:r>
        <w:fldChar w:fldCharType="separate"/>
      </w:r>
      <w:r>
        <w:t>11</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_Toc4200 </w:instrText>
      </w:r>
      <w:r>
        <w:rPr>
          <w:rFonts w:hint="eastAsia"/>
          <w:szCs w:val="28"/>
          <w:shd w:val="clear" w:color="auto" w:fill="auto"/>
        </w:rPr>
        <w:fldChar w:fldCharType="separate"/>
      </w:r>
      <w:r>
        <w:rPr>
          <w:rFonts w:hint="eastAsia"/>
          <w:lang w:val="en-US" w:eastAsia="zh-CN"/>
        </w:rPr>
        <w:t>2</w:t>
      </w:r>
      <w:r>
        <w:t>.</w:t>
      </w:r>
      <w:r>
        <w:rPr>
          <w:rFonts w:hint="eastAsia"/>
          <w:lang w:val="en-US" w:eastAsia="zh-CN"/>
        </w:rPr>
        <w:t>2</w:t>
      </w:r>
      <w:r>
        <w:t xml:space="preserve"> </w:t>
      </w:r>
      <w:r>
        <w:rPr>
          <w:rFonts w:hint="eastAsia"/>
          <w:lang w:eastAsia="zh-CN"/>
        </w:rPr>
        <w:t>调查</w:t>
      </w:r>
      <w:r>
        <w:t>项目基本概况</w:t>
      </w:r>
      <w:r>
        <w:tab/>
      </w:r>
      <w:r>
        <w:fldChar w:fldCharType="begin"/>
      </w:r>
      <w:r>
        <w:instrText xml:space="preserve"> PAGEREF _Toc4200 </w:instrText>
      </w:r>
      <w:r>
        <w:fldChar w:fldCharType="separate"/>
      </w:r>
      <w:r>
        <w:t>14</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_Toc8122 </w:instrText>
      </w:r>
      <w:r>
        <w:rPr>
          <w:rFonts w:hint="eastAsia"/>
          <w:szCs w:val="28"/>
          <w:shd w:val="clear" w:color="auto" w:fill="auto"/>
        </w:rPr>
        <w:fldChar w:fldCharType="separate"/>
      </w:r>
      <w:r>
        <w:rPr>
          <w:rFonts w:hint="eastAsia"/>
          <w:lang w:val="en-US" w:eastAsia="zh-CN"/>
        </w:rPr>
        <w:t>2</w:t>
      </w:r>
      <w:r>
        <w:t>.</w:t>
      </w:r>
      <w:r>
        <w:rPr>
          <w:rFonts w:hint="eastAsia"/>
          <w:lang w:val="en-US" w:eastAsia="zh-CN"/>
        </w:rPr>
        <w:t>3</w:t>
      </w:r>
      <w:r>
        <w:t xml:space="preserve"> 本项目工程分析</w:t>
      </w:r>
      <w:r>
        <w:tab/>
      </w:r>
      <w:r>
        <w:fldChar w:fldCharType="begin"/>
      </w:r>
      <w:r>
        <w:instrText xml:space="preserve"> PAGEREF _Toc8122 </w:instrText>
      </w:r>
      <w:r>
        <w:fldChar w:fldCharType="separate"/>
      </w:r>
      <w:r>
        <w:t>18</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_Toc24019 </w:instrText>
      </w:r>
      <w:r>
        <w:rPr>
          <w:rFonts w:hint="eastAsia"/>
          <w:szCs w:val="28"/>
          <w:shd w:val="clear" w:color="auto" w:fill="auto"/>
        </w:rPr>
        <w:fldChar w:fldCharType="separate"/>
      </w:r>
      <w:r>
        <w:rPr>
          <w:rFonts w:hint="eastAsia" w:cs="Times New Roman"/>
          <w:lang w:val="en-US" w:eastAsia="zh-CN"/>
        </w:rPr>
        <w:t>2</w:t>
      </w:r>
      <w:r>
        <w:rPr>
          <w:rFonts w:hint="default" w:ascii="Times New Roman" w:hAnsi="Times New Roman" w:cs="Times New Roman"/>
          <w:lang w:val="en-US" w:eastAsia="zh-CN"/>
        </w:rPr>
        <w:t xml:space="preserve">.4 </w:t>
      </w:r>
      <w:r>
        <w:rPr>
          <w:rFonts w:hint="default" w:ascii="Times New Roman" w:hAnsi="Times New Roman" w:cs="Times New Roman"/>
        </w:rPr>
        <w:t>公用辅助工程</w:t>
      </w:r>
      <w:r>
        <w:tab/>
      </w:r>
      <w:r>
        <w:fldChar w:fldCharType="begin"/>
      </w:r>
      <w:r>
        <w:instrText xml:space="preserve"> PAGEREF _Toc24019 </w:instrText>
      </w:r>
      <w:r>
        <w:fldChar w:fldCharType="separate"/>
      </w:r>
      <w:r>
        <w:t>21</w:t>
      </w:r>
      <w:r>
        <w:fldChar w:fldCharType="end"/>
      </w:r>
      <w:r>
        <w:rPr>
          <w:rFonts w:hint="eastAsia"/>
          <w:color w:val="FF0000"/>
          <w:szCs w:val="28"/>
          <w:shd w:val="clear" w:color="auto" w:fill="auto"/>
        </w:rPr>
        <w:fldChar w:fldCharType="end"/>
      </w:r>
    </w:p>
    <w:p>
      <w:pPr>
        <w:pStyle w:val="11"/>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_Toc18000 </w:instrText>
      </w:r>
      <w:r>
        <w:rPr>
          <w:rFonts w:hint="eastAsia"/>
          <w:szCs w:val="28"/>
          <w:shd w:val="clear" w:color="auto" w:fill="auto"/>
        </w:rPr>
        <w:fldChar w:fldCharType="separate"/>
      </w:r>
      <w:r>
        <w:rPr>
          <w:rFonts w:hint="eastAsia"/>
          <w:lang w:val="en-US" w:eastAsia="zh-CN"/>
        </w:rPr>
        <w:t>3 环境影响报告书回顾</w:t>
      </w:r>
      <w:r>
        <w:tab/>
      </w:r>
      <w:r>
        <w:fldChar w:fldCharType="begin"/>
      </w:r>
      <w:r>
        <w:instrText xml:space="preserve"> PAGEREF _Toc18000 </w:instrText>
      </w:r>
      <w:r>
        <w:fldChar w:fldCharType="separate"/>
      </w:r>
      <w:r>
        <w:t>24</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_Toc12204 </w:instrText>
      </w:r>
      <w:r>
        <w:rPr>
          <w:rFonts w:hint="eastAsia"/>
          <w:szCs w:val="28"/>
          <w:shd w:val="clear" w:color="auto" w:fill="auto"/>
        </w:rPr>
        <w:fldChar w:fldCharType="separate"/>
      </w:r>
      <w:r>
        <w:rPr>
          <w:rFonts w:hint="eastAsia"/>
          <w:lang w:val="en-US" w:eastAsia="zh-CN"/>
        </w:rPr>
        <w:t>3</w:t>
      </w:r>
      <w:r>
        <w:t>.1</w:t>
      </w:r>
      <w:r>
        <w:rPr>
          <w:rFonts w:hint="eastAsia"/>
        </w:rPr>
        <w:t xml:space="preserve"> </w:t>
      </w:r>
      <w:r>
        <w:rPr>
          <w:rFonts w:hint="eastAsia" w:ascii="仿宋" w:hAnsi="仿宋" w:eastAsia="仿宋" w:cs="仿宋"/>
          <w:szCs w:val="28"/>
        </w:rPr>
        <w:t>环评的主要结论与建</w:t>
      </w:r>
      <w:r>
        <w:rPr>
          <w:rFonts w:hint="eastAsia" w:ascii="宋体" w:hAnsi="宋体" w:eastAsia="宋体"/>
          <w:szCs w:val="28"/>
        </w:rPr>
        <w:t>议</w:t>
      </w:r>
      <w:r>
        <w:tab/>
      </w:r>
      <w:r>
        <w:fldChar w:fldCharType="begin"/>
      </w:r>
      <w:r>
        <w:instrText xml:space="preserve"> PAGEREF _Toc12204 </w:instrText>
      </w:r>
      <w:r>
        <w:fldChar w:fldCharType="separate"/>
      </w:r>
      <w:r>
        <w:t>24</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_Toc10634 </w:instrText>
      </w:r>
      <w:r>
        <w:rPr>
          <w:rFonts w:hint="eastAsia"/>
          <w:szCs w:val="28"/>
          <w:shd w:val="clear" w:color="auto" w:fill="auto"/>
        </w:rPr>
        <w:fldChar w:fldCharType="separate"/>
      </w:r>
      <w:r>
        <w:rPr>
          <w:rFonts w:hint="eastAsia"/>
          <w:lang w:val="en-US" w:eastAsia="zh-CN"/>
        </w:rPr>
        <w:t xml:space="preserve">3.2 </w:t>
      </w:r>
      <w:r>
        <w:rPr>
          <w:rFonts w:hint="eastAsia"/>
        </w:rPr>
        <w:t>审批部门审批决定</w:t>
      </w:r>
      <w:r>
        <w:tab/>
      </w:r>
      <w:r>
        <w:fldChar w:fldCharType="begin"/>
      </w:r>
      <w:r>
        <w:instrText xml:space="preserve"> PAGEREF _Toc10634 </w:instrText>
      </w:r>
      <w:r>
        <w:fldChar w:fldCharType="separate"/>
      </w:r>
      <w:r>
        <w:t>27</w:t>
      </w:r>
      <w:r>
        <w:fldChar w:fldCharType="end"/>
      </w:r>
      <w:r>
        <w:rPr>
          <w:rFonts w:hint="eastAsia"/>
          <w:color w:val="FF0000"/>
          <w:szCs w:val="28"/>
          <w:shd w:val="clear" w:color="auto" w:fill="auto"/>
        </w:rPr>
        <w:fldChar w:fldCharType="end"/>
      </w:r>
    </w:p>
    <w:p>
      <w:pPr>
        <w:pStyle w:val="11"/>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_Toc32462 </w:instrText>
      </w:r>
      <w:r>
        <w:rPr>
          <w:rFonts w:hint="eastAsia"/>
          <w:szCs w:val="28"/>
          <w:shd w:val="clear" w:color="auto" w:fill="auto"/>
        </w:rPr>
        <w:fldChar w:fldCharType="separate"/>
      </w:r>
      <w:r>
        <w:rPr>
          <w:rFonts w:hint="eastAsia"/>
          <w:lang w:val="en-US" w:eastAsia="zh-CN"/>
        </w:rPr>
        <w:t xml:space="preserve">4 </w:t>
      </w:r>
      <w:r>
        <w:t>环保措施实情况调查分析</w:t>
      </w:r>
      <w:r>
        <w:tab/>
      </w:r>
      <w:r>
        <w:fldChar w:fldCharType="begin"/>
      </w:r>
      <w:r>
        <w:instrText xml:space="preserve"> PAGEREF _Toc32462 </w:instrText>
      </w:r>
      <w:r>
        <w:fldChar w:fldCharType="separate"/>
      </w:r>
      <w:r>
        <w:t>31</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_Toc18526 </w:instrText>
      </w:r>
      <w:r>
        <w:rPr>
          <w:rFonts w:hint="eastAsia"/>
          <w:szCs w:val="28"/>
          <w:shd w:val="clear" w:color="auto" w:fill="auto"/>
        </w:rPr>
        <w:fldChar w:fldCharType="separate"/>
      </w:r>
      <w:r>
        <w:rPr>
          <w:rFonts w:hint="eastAsia"/>
          <w:lang w:val="en-US" w:eastAsia="zh-CN"/>
        </w:rPr>
        <w:t>4</w:t>
      </w:r>
      <w:r>
        <w:rPr>
          <w:rFonts w:hint="eastAsia"/>
        </w:rPr>
        <w:t>.1</w:t>
      </w:r>
      <w:r>
        <w:rPr>
          <w:rFonts w:hint="eastAsia"/>
          <w:lang w:val="en-US" w:eastAsia="zh-CN"/>
        </w:rPr>
        <w:t xml:space="preserve"> 产污环节及环保措施调查</w:t>
      </w:r>
      <w:r>
        <w:tab/>
      </w:r>
      <w:r>
        <w:fldChar w:fldCharType="begin"/>
      </w:r>
      <w:r>
        <w:instrText xml:space="preserve"> PAGEREF _Toc18526 </w:instrText>
      </w:r>
      <w:r>
        <w:fldChar w:fldCharType="separate"/>
      </w:r>
      <w:r>
        <w:t>31</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_Toc6599 </w:instrText>
      </w:r>
      <w:r>
        <w:rPr>
          <w:rFonts w:hint="eastAsia"/>
          <w:szCs w:val="28"/>
          <w:shd w:val="clear" w:color="auto" w:fill="auto"/>
        </w:rPr>
        <w:fldChar w:fldCharType="separate"/>
      </w:r>
      <w:r>
        <w:rPr>
          <w:rFonts w:hint="eastAsia"/>
          <w:lang w:val="en-US" w:eastAsia="zh-CN"/>
        </w:rPr>
        <w:t xml:space="preserve">4.2 </w:t>
      </w:r>
      <w:r>
        <w:t>环评报告书及批复环保措施落实情况调查</w:t>
      </w:r>
      <w:r>
        <w:tab/>
      </w:r>
      <w:r>
        <w:fldChar w:fldCharType="begin"/>
      </w:r>
      <w:r>
        <w:instrText xml:space="preserve"> PAGEREF _Toc6599 </w:instrText>
      </w:r>
      <w:r>
        <w:fldChar w:fldCharType="separate"/>
      </w:r>
      <w:r>
        <w:t>36</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_Toc15535 </w:instrText>
      </w:r>
      <w:r>
        <w:rPr>
          <w:rFonts w:hint="eastAsia"/>
          <w:szCs w:val="28"/>
          <w:shd w:val="clear" w:color="auto" w:fill="auto"/>
        </w:rPr>
        <w:fldChar w:fldCharType="separate"/>
      </w:r>
      <w:r>
        <w:rPr>
          <w:rFonts w:hint="eastAsia"/>
          <w:lang w:val="en-US" w:eastAsia="zh-CN"/>
        </w:rPr>
        <w:t>4.3 环保投资</w:t>
      </w:r>
      <w:r>
        <w:tab/>
      </w:r>
      <w:r>
        <w:fldChar w:fldCharType="begin"/>
      </w:r>
      <w:r>
        <w:instrText xml:space="preserve"> PAGEREF _Toc15535 </w:instrText>
      </w:r>
      <w:r>
        <w:fldChar w:fldCharType="separate"/>
      </w:r>
      <w:r>
        <w:t>38</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_Toc27199 </w:instrText>
      </w:r>
      <w:r>
        <w:rPr>
          <w:rFonts w:hint="eastAsia"/>
          <w:szCs w:val="28"/>
          <w:shd w:val="clear" w:color="auto" w:fill="auto"/>
        </w:rPr>
        <w:fldChar w:fldCharType="separate"/>
      </w:r>
      <w:r>
        <w:rPr>
          <w:rFonts w:hint="eastAsia"/>
          <w:lang w:val="en-US" w:eastAsia="zh-CN"/>
        </w:rPr>
        <w:t xml:space="preserve">4.4 </w:t>
      </w:r>
      <w:r>
        <w:rPr>
          <w:rFonts w:hint="eastAsia"/>
          <w:lang w:eastAsia="zh-CN"/>
        </w:rPr>
        <w:t>调查结论</w:t>
      </w:r>
      <w:r>
        <w:tab/>
      </w:r>
      <w:r>
        <w:fldChar w:fldCharType="begin"/>
      </w:r>
      <w:r>
        <w:instrText xml:space="preserve"> PAGEREF _Toc27199 </w:instrText>
      </w:r>
      <w:r>
        <w:fldChar w:fldCharType="separate"/>
      </w:r>
      <w:r>
        <w:t>39</w:t>
      </w:r>
      <w:r>
        <w:fldChar w:fldCharType="end"/>
      </w:r>
      <w:r>
        <w:rPr>
          <w:rFonts w:hint="eastAsia"/>
          <w:color w:val="FF0000"/>
          <w:szCs w:val="28"/>
          <w:shd w:val="clear" w:color="auto" w:fill="auto"/>
        </w:rPr>
        <w:fldChar w:fldCharType="end"/>
      </w:r>
    </w:p>
    <w:p>
      <w:pPr>
        <w:pStyle w:val="11"/>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_Toc19371 </w:instrText>
      </w:r>
      <w:r>
        <w:rPr>
          <w:rFonts w:hint="eastAsia"/>
          <w:szCs w:val="28"/>
          <w:shd w:val="clear" w:color="auto" w:fill="auto"/>
        </w:rPr>
        <w:fldChar w:fldCharType="separate"/>
      </w:r>
      <w:r>
        <w:rPr>
          <w:rFonts w:hint="eastAsia"/>
          <w:lang w:val="en-US" w:eastAsia="zh-CN"/>
        </w:rPr>
        <w:t xml:space="preserve">5 </w:t>
      </w:r>
      <w:r>
        <w:t>施工期环境影响调查分析</w:t>
      </w:r>
      <w:r>
        <w:tab/>
      </w:r>
      <w:r>
        <w:fldChar w:fldCharType="begin"/>
      </w:r>
      <w:r>
        <w:instrText xml:space="preserve"> PAGEREF _Toc19371 </w:instrText>
      </w:r>
      <w:r>
        <w:fldChar w:fldCharType="separate"/>
      </w:r>
      <w:r>
        <w:t>40</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_Toc8767 </w:instrText>
      </w:r>
      <w:r>
        <w:rPr>
          <w:rFonts w:hint="eastAsia"/>
          <w:szCs w:val="28"/>
          <w:shd w:val="clear" w:color="auto" w:fill="auto"/>
        </w:rPr>
        <w:fldChar w:fldCharType="separate"/>
      </w:r>
      <w:r>
        <w:rPr>
          <w:rFonts w:hint="eastAsia"/>
          <w:lang w:val="en-US" w:eastAsia="zh-CN"/>
        </w:rPr>
        <w:t>5</w:t>
      </w:r>
      <w:r>
        <w:t xml:space="preserve">.1 </w:t>
      </w:r>
      <w:r>
        <w:rPr>
          <w:rFonts w:hint="eastAsia"/>
        </w:rPr>
        <w:t>施工期水环境影响</w:t>
      </w:r>
      <w:r>
        <w:tab/>
      </w:r>
      <w:r>
        <w:fldChar w:fldCharType="begin"/>
      </w:r>
      <w:r>
        <w:instrText xml:space="preserve"> PAGEREF _Toc8767 </w:instrText>
      </w:r>
      <w:r>
        <w:fldChar w:fldCharType="separate"/>
      </w:r>
      <w:r>
        <w:t>40</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_Toc16997 </w:instrText>
      </w:r>
      <w:r>
        <w:rPr>
          <w:rFonts w:hint="eastAsia"/>
          <w:szCs w:val="28"/>
          <w:shd w:val="clear" w:color="auto" w:fill="auto"/>
        </w:rPr>
        <w:fldChar w:fldCharType="separate"/>
      </w:r>
      <w:r>
        <w:rPr>
          <w:rFonts w:hint="eastAsia"/>
          <w:lang w:val="en-US" w:eastAsia="zh-CN"/>
        </w:rPr>
        <w:t>5</w:t>
      </w:r>
      <w:r>
        <w:t xml:space="preserve">.2 </w:t>
      </w:r>
      <w:r>
        <w:rPr>
          <w:rFonts w:hint="eastAsia"/>
        </w:rPr>
        <w:t>施工期大气环境影响</w:t>
      </w:r>
      <w:r>
        <w:tab/>
      </w:r>
      <w:r>
        <w:fldChar w:fldCharType="begin"/>
      </w:r>
      <w:r>
        <w:instrText xml:space="preserve"> PAGEREF _Toc16997 </w:instrText>
      </w:r>
      <w:r>
        <w:fldChar w:fldCharType="separate"/>
      </w:r>
      <w:r>
        <w:t>40</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_Toc30977 </w:instrText>
      </w:r>
      <w:r>
        <w:rPr>
          <w:rFonts w:hint="eastAsia"/>
          <w:szCs w:val="28"/>
          <w:shd w:val="clear" w:color="auto" w:fill="auto"/>
        </w:rPr>
        <w:fldChar w:fldCharType="separate"/>
      </w:r>
      <w:r>
        <w:rPr>
          <w:rFonts w:hint="eastAsia"/>
          <w:lang w:val="en-US" w:eastAsia="zh-CN"/>
        </w:rPr>
        <w:t>5</w:t>
      </w:r>
      <w:r>
        <w:t xml:space="preserve">.3 </w:t>
      </w:r>
      <w:r>
        <w:rPr>
          <w:rFonts w:hint="eastAsia"/>
        </w:rPr>
        <w:t>施工期固体废弃物影响</w:t>
      </w:r>
      <w:r>
        <w:tab/>
      </w:r>
      <w:r>
        <w:fldChar w:fldCharType="begin"/>
      </w:r>
      <w:r>
        <w:instrText xml:space="preserve"> PAGEREF _Toc30977 </w:instrText>
      </w:r>
      <w:r>
        <w:fldChar w:fldCharType="separate"/>
      </w:r>
      <w:r>
        <w:t>40</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_Toc18420 </w:instrText>
      </w:r>
      <w:r>
        <w:rPr>
          <w:rFonts w:hint="eastAsia"/>
          <w:szCs w:val="28"/>
          <w:shd w:val="clear" w:color="auto" w:fill="auto"/>
        </w:rPr>
        <w:fldChar w:fldCharType="separate"/>
      </w:r>
      <w:r>
        <w:rPr>
          <w:rFonts w:hint="eastAsia"/>
          <w:lang w:val="en-US" w:eastAsia="zh-CN"/>
        </w:rPr>
        <w:t>5</w:t>
      </w:r>
      <w:r>
        <w:t xml:space="preserve">.4 </w:t>
      </w:r>
      <w:r>
        <w:rPr>
          <w:rFonts w:hint="eastAsia"/>
        </w:rPr>
        <w:t>施工期声环境影响</w:t>
      </w:r>
      <w:r>
        <w:tab/>
      </w:r>
      <w:r>
        <w:fldChar w:fldCharType="begin"/>
      </w:r>
      <w:r>
        <w:instrText xml:space="preserve"> PAGEREF _Toc18420 </w:instrText>
      </w:r>
      <w:r>
        <w:fldChar w:fldCharType="separate"/>
      </w:r>
      <w:r>
        <w:t>41</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_Toc6900 </w:instrText>
      </w:r>
      <w:r>
        <w:rPr>
          <w:rFonts w:hint="eastAsia"/>
          <w:szCs w:val="28"/>
          <w:shd w:val="clear" w:color="auto" w:fill="auto"/>
        </w:rPr>
        <w:fldChar w:fldCharType="separate"/>
      </w:r>
      <w:r>
        <w:rPr>
          <w:rFonts w:hint="eastAsia"/>
          <w:lang w:val="en-US" w:eastAsia="zh-CN"/>
        </w:rPr>
        <w:t>5</w:t>
      </w:r>
      <w:r>
        <w:t>.</w:t>
      </w:r>
      <w:r>
        <w:rPr>
          <w:rFonts w:hint="eastAsia"/>
        </w:rPr>
        <w:t>5</w:t>
      </w:r>
      <w:r>
        <w:rPr>
          <w:rFonts w:hint="eastAsia"/>
          <w:lang w:val="en-US" w:eastAsia="zh-CN"/>
        </w:rPr>
        <w:t xml:space="preserve"> </w:t>
      </w:r>
      <w:r>
        <w:rPr>
          <w:rFonts w:hint="eastAsia"/>
        </w:rPr>
        <w:t>施工期生态环境影响</w:t>
      </w:r>
      <w:r>
        <w:tab/>
      </w:r>
      <w:r>
        <w:fldChar w:fldCharType="begin"/>
      </w:r>
      <w:r>
        <w:instrText xml:space="preserve"> PAGEREF _Toc6900 </w:instrText>
      </w:r>
      <w:r>
        <w:fldChar w:fldCharType="separate"/>
      </w:r>
      <w:r>
        <w:t>41</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_Toc23007 </w:instrText>
      </w:r>
      <w:r>
        <w:rPr>
          <w:rFonts w:hint="eastAsia"/>
          <w:szCs w:val="28"/>
          <w:shd w:val="clear" w:color="auto" w:fill="auto"/>
        </w:rPr>
        <w:fldChar w:fldCharType="separate"/>
      </w:r>
      <w:r>
        <w:rPr>
          <w:rFonts w:hint="eastAsia"/>
          <w:lang w:val="en-US" w:eastAsia="zh-CN"/>
        </w:rPr>
        <w:t>5</w:t>
      </w:r>
      <w:r>
        <w:rPr>
          <w:rFonts w:hint="eastAsia"/>
        </w:rPr>
        <w:t>.6</w:t>
      </w:r>
      <w:r>
        <w:rPr>
          <w:rFonts w:hint="eastAsia"/>
          <w:lang w:val="en-US" w:eastAsia="zh-CN"/>
        </w:rPr>
        <w:t xml:space="preserve"> </w:t>
      </w:r>
      <w:r>
        <w:t>施工期环境影响调查结论</w:t>
      </w:r>
      <w:r>
        <w:tab/>
      </w:r>
      <w:r>
        <w:fldChar w:fldCharType="begin"/>
      </w:r>
      <w:r>
        <w:instrText xml:space="preserve"> PAGEREF _Toc23007 </w:instrText>
      </w:r>
      <w:r>
        <w:fldChar w:fldCharType="separate"/>
      </w:r>
      <w:r>
        <w:t>41</w:t>
      </w:r>
      <w:r>
        <w:fldChar w:fldCharType="end"/>
      </w:r>
      <w:r>
        <w:rPr>
          <w:rFonts w:hint="eastAsia"/>
          <w:color w:val="FF0000"/>
          <w:szCs w:val="28"/>
          <w:shd w:val="clear" w:color="auto" w:fill="auto"/>
        </w:rPr>
        <w:fldChar w:fldCharType="end"/>
      </w:r>
    </w:p>
    <w:p>
      <w:pPr>
        <w:pStyle w:val="11"/>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_Toc20237 </w:instrText>
      </w:r>
      <w:r>
        <w:rPr>
          <w:rFonts w:hint="eastAsia"/>
          <w:szCs w:val="28"/>
          <w:shd w:val="clear" w:color="auto" w:fill="auto"/>
        </w:rPr>
        <w:fldChar w:fldCharType="separate"/>
      </w:r>
      <w:r>
        <w:rPr>
          <w:rFonts w:hint="eastAsia"/>
          <w:lang w:val="en-US" w:eastAsia="zh-CN"/>
        </w:rPr>
        <w:t>6 生态影响调查</w:t>
      </w:r>
      <w:r>
        <w:tab/>
      </w:r>
      <w:r>
        <w:fldChar w:fldCharType="begin"/>
      </w:r>
      <w:r>
        <w:instrText xml:space="preserve"> PAGEREF _Toc20237 </w:instrText>
      </w:r>
      <w:r>
        <w:fldChar w:fldCharType="separate"/>
      </w:r>
      <w:r>
        <w:t>42</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_Toc3235 </w:instrText>
      </w:r>
      <w:r>
        <w:rPr>
          <w:rFonts w:hint="eastAsia"/>
          <w:szCs w:val="28"/>
          <w:shd w:val="clear" w:color="auto" w:fill="auto"/>
        </w:rPr>
        <w:fldChar w:fldCharType="separate"/>
      </w:r>
      <w:r>
        <w:rPr>
          <w:rFonts w:hint="eastAsia"/>
          <w:shd w:val="clear" w:color="auto" w:fill="auto"/>
          <w:lang w:val="en-US" w:eastAsia="zh-CN"/>
        </w:rPr>
        <w:t>6.1 生态环境现状调查</w:t>
      </w:r>
      <w:r>
        <w:tab/>
      </w:r>
      <w:r>
        <w:fldChar w:fldCharType="begin"/>
      </w:r>
      <w:r>
        <w:instrText xml:space="preserve"> PAGEREF _Toc3235 </w:instrText>
      </w:r>
      <w:r>
        <w:fldChar w:fldCharType="separate"/>
      </w:r>
      <w:r>
        <w:t>42</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_Toc9135 </w:instrText>
      </w:r>
      <w:r>
        <w:rPr>
          <w:rFonts w:hint="eastAsia"/>
          <w:szCs w:val="28"/>
          <w:shd w:val="clear" w:color="auto" w:fill="auto"/>
        </w:rPr>
        <w:fldChar w:fldCharType="separate"/>
      </w:r>
      <w:r>
        <w:rPr>
          <w:rFonts w:hint="eastAsia"/>
          <w:lang w:val="en-US" w:eastAsia="zh-CN"/>
        </w:rPr>
        <w:t>6.2 生态环境影响调查与分析</w:t>
      </w:r>
      <w:r>
        <w:tab/>
      </w:r>
      <w:r>
        <w:fldChar w:fldCharType="begin"/>
      </w:r>
      <w:r>
        <w:instrText xml:space="preserve"> PAGEREF _Toc9135 </w:instrText>
      </w:r>
      <w:r>
        <w:fldChar w:fldCharType="separate"/>
      </w:r>
      <w:r>
        <w:t>43</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_Toc14732 </w:instrText>
      </w:r>
      <w:r>
        <w:rPr>
          <w:rFonts w:hint="eastAsia"/>
          <w:szCs w:val="28"/>
          <w:shd w:val="clear" w:color="auto" w:fill="auto"/>
        </w:rPr>
        <w:fldChar w:fldCharType="separate"/>
      </w:r>
      <w:r>
        <w:rPr>
          <w:rFonts w:hint="eastAsia"/>
          <w:lang w:val="en-US" w:eastAsia="zh-CN"/>
        </w:rPr>
        <w:t>6.3 生态影响调查结论</w:t>
      </w:r>
      <w:r>
        <w:tab/>
      </w:r>
      <w:r>
        <w:fldChar w:fldCharType="begin"/>
      </w:r>
      <w:r>
        <w:instrText xml:space="preserve"> PAGEREF _Toc14732 </w:instrText>
      </w:r>
      <w:r>
        <w:fldChar w:fldCharType="separate"/>
      </w:r>
      <w:r>
        <w:t>48</w:t>
      </w:r>
      <w:r>
        <w:fldChar w:fldCharType="end"/>
      </w:r>
      <w:r>
        <w:rPr>
          <w:rFonts w:hint="eastAsia"/>
          <w:color w:val="FF0000"/>
          <w:szCs w:val="28"/>
          <w:shd w:val="clear" w:color="auto" w:fill="auto"/>
        </w:rPr>
        <w:fldChar w:fldCharType="end"/>
      </w:r>
    </w:p>
    <w:p>
      <w:pPr>
        <w:pStyle w:val="11"/>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_Toc18342 </w:instrText>
      </w:r>
      <w:r>
        <w:rPr>
          <w:rFonts w:hint="eastAsia"/>
          <w:szCs w:val="28"/>
          <w:shd w:val="clear" w:color="auto" w:fill="auto"/>
        </w:rPr>
        <w:fldChar w:fldCharType="separate"/>
      </w:r>
      <w:r>
        <w:rPr>
          <w:rFonts w:hint="eastAsia"/>
          <w:lang w:val="en-US" w:eastAsia="zh-CN"/>
        </w:rPr>
        <w:t xml:space="preserve">7 </w:t>
      </w:r>
      <w:r>
        <w:rPr>
          <w:rFonts w:hint="eastAsia"/>
          <w:lang w:eastAsia="zh-CN"/>
        </w:rPr>
        <w:t>污染影响调查</w:t>
      </w:r>
      <w:r>
        <w:tab/>
      </w:r>
      <w:r>
        <w:fldChar w:fldCharType="begin"/>
      </w:r>
      <w:r>
        <w:instrText xml:space="preserve"> PAGEREF _Toc18342 </w:instrText>
      </w:r>
      <w:r>
        <w:fldChar w:fldCharType="separate"/>
      </w:r>
      <w:r>
        <w:t>49</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_Toc19516 </w:instrText>
      </w:r>
      <w:r>
        <w:rPr>
          <w:rFonts w:hint="eastAsia"/>
          <w:szCs w:val="28"/>
          <w:shd w:val="clear" w:color="auto" w:fill="auto"/>
        </w:rPr>
        <w:fldChar w:fldCharType="separate"/>
      </w:r>
      <w:r>
        <w:rPr>
          <w:rFonts w:hint="eastAsia"/>
          <w:lang w:val="en-US" w:eastAsia="zh-CN"/>
        </w:rPr>
        <w:t>7.1 污染影响监测内容</w:t>
      </w:r>
      <w:r>
        <w:tab/>
      </w:r>
      <w:r>
        <w:fldChar w:fldCharType="begin"/>
      </w:r>
      <w:r>
        <w:instrText xml:space="preserve"> PAGEREF _Toc19516 </w:instrText>
      </w:r>
      <w:r>
        <w:fldChar w:fldCharType="separate"/>
      </w:r>
      <w:r>
        <w:t>49</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_Toc6142 </w:instrText>
      </w:r>
      <w:r>
        <w:rPr>
          <w:rFonts w:hint="eastAsia"/>
          <w:szCs w:val="28"/>
          <w:shd w:val="clear" w:color="auto" w:fill="auto"/>
        </w:rPr>
        <w:fldChar w:fldCharType="separate"/>
      </w:r>
      <w:r>
        <w:rPr>
          <w:rFonts w:hint="eastAsia"/>
          <w:lang w:val="en-US" w:eastAsia="zh-CN"/>
        </w:rPr>
        <w:t>7.2 生产工况</w:t>
      </w:r>
      <w:r>
        <w:tab/>
      </w:r>
      <w:r>
        <w:fldChar w:fldCharType="begin"/>
      </w:r>
      <w:r>
        <w:instrText xml:space="preserve"> PAGEREF _Toc6142 </w:instrText>
      </w:r>
      <w:r>
        <w:fldChar w:fldCharType="separate"/>
      </w:r>
      <w:r>
        <w:t>50</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_Toc29139 </w:instrText>
      </w:r>
      <w:r>
        <w:rPr>
          <w:rFonts w:hint="eastAsia"/>
          <w:szCs w:val="28"/>
          <w:shd w:val="clear" w:color="auto" w:fill="auto"/>
        </w:rPr>
        <w:fldChar w:fldCharType="separate"/>
      </w:r>
      <w:r>
        <w:rPr>
          <w:rFonts w:hint="eastAsia"/>
          <w:lang w:val="en-US" w:eastAsia="zh-CN"/>
        </w:rPr>
        <w:t>7.3 水环境影响调查</w:t>
      </w:r>
      <w:r>
        <w:tab/>
      </w:r>
      <w:r>
        <w:fldChar w:fldCharType="begin"/>
      </w:r>
      <w:r>
        <w:instrText xml:space="preserve"> PAGEREF _Toc29139 </w:instrText>
      </w:r>
      <w:r>
        <w:fldChar w:fldCharType="separate"/>
      </w:r>
      <w:r>
        <w:t>50</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_Toc30455 </w:instrText>
      </w:r>
      <w:r>
        <w:rPr>
          <w:rFonts w:hint="eastAsia"/>
          <w:szCs w:val="28"/>
          <w:shd w:val="clear" w:color="auto" w:fill="auto"/>
        </w:rPr>
        <w:fldChar w:fldCharType="separate"/>
      </w:r>
      <w:r>
        <w:rPr>
          <w:rFonts w:hint="eastAsia"/>
          <w:lang w:val="en-US" w:eastAsia="zh-CN"/>
        </w:rPr>
        <w:t>7.4大气环境影响调查</w:t>
      </w:r>
      <w:r>
        <w:tab/>
      </w:r>
      <w:r>
        <w:fldChar w:fldCharType="begin"/>
      </w:r>
      <w:r>
        <w:instrText xml:space="preserve"> PAGEREF _Toc30455 </w:instrText>
      </w:r>
      <w:r>
        <w:fldChar w:fldCharType="separate"/>
      </w:r>
      <w:r>
        <w:t>53</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_Toc3904 </w:instrText>
      </w:r>
      <w:r>
        <w:rPr>
          <w:rFonts w:hint="eastAsia"/>
          <w:szCs w:val="28"/>
          <w:shd w:val="clear" w:color="auto" w:fill="auto"/>
        </w:rPr>
        <w:fldChar w:fldCharType="separate"/>
      </w:r>
      <w:r>
        <w:rPr>
          <w:rFonts w:hint="eastAsia"/>
          <w:lang w:val="en-US" w:eastAsia="zh-CN"/>
        </w:rPr>
        <w:t>7.5 声环境影响调查</w:t>
      </w:r>
      <w:r>
        <w:tab/>
      </w:r>
      <w:r>
        <w:fldChar w:fldCharType="begin"/>
      </w:r>
      <w:r>
        <w:instrText xml:space="preserve"> PAGEREF _Toc3904 </w:instrText>
      </w:r>
      <w:r>
        <w:fldChar w:fldCharType="separate"/>
      </w:r>
      <w:r>
        <w:t>56</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_Toc4023 </w:instrText>
      </w:r>
      <w:r>
        <w:rPr>
          <w:rFonts w:hint="eastAsia"/>
          <w:szCs w:val="28"/>
          <w:shd w:val="clear" w:color="auto" w:fill="auto"/>
        </w:rPr>
        <w:fldChar w:fldCharType="separate"/>
      </w:r>
      <w:r>
        <w:rPr>
          <w:rFonts w:hint="eastAsia"/>
          <w:lang w:val="en-US" w:eastAsia="zh-CN"/>
        </w:rPr>
        <w:t>7.6 固废环境影响调查</w:t>
      </w:r>
      <w:r>
        <w:tab/>
      </w:r>
      <w:r>
        <w:fldChar w:fldCharType="begin"/>
      </w:r>
      <w:r>
        <w:instrText xml:space="preserve"> PAGEREF _Toc4023 </w:instrText>
      </w:r>
      <w:r>
        <w:fldChar w:fldCharType="separate"/>
      </w:r>
      <w:r>
        <w:t>59</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_Toc12562 </w:instrText>
      </w:r>
      <w:r>
        <w:rPr>
          <w:rFonts w:hint="eastAsia"/>
          <w:szCs w:val="28"/>
          <w:shd w:val="clear" w:color="auto" w:fill="auto"/>
        </w:rPr>
        <w:fldChar w:fldCharType="separate"/>
      </w:r>
      <w:r>
        <w:rPr>
          <w:rFonts w:hint="eastAsia"/>
          <w:lang w:val="en-US" w:eastAsia="zh-CN"/>
        </w:rPr>
        <w:t>7.7 调查结论</w:t>
      </w:r>
      <w:r>
        <w:tab/>
      </w:r>
      <w:r>
        <w:fldChar w:fldCharType="begin"/>
      </w:r>
      <w:r>
        <w:instrText xml:space="preserve"> PAGEREF _Toc12562 </w:instrText>
      </w:r>
      <w:r>
        <w:fldChar w:fldCharType="separate"/>
      </w:r>
      <w:r>
        <w:t>59</w:t>
      </w:r>
      <w:r>
        <w:fldChar w:fldCharType="end"/>
      </w:r>
      <w:r>
        <w:rPr>
          <w:rFonts w:hint="eastAsia"/>
          <w:color w:val="FF0000"/>
          <w:szCs w:val="28"/>
          <w:shd w:val="clear" w:color="auto" w:fill="auto"/>
        </w:rPr>
        <w:fldChar w:fldCharType="end"/>
      </w:r>
    </w:p>
    <w:p>
      <w:pPr>
        <w:pStyle w:val="11"/>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_Toc10415 </w:instrText>
      </w:r>
      <w:r>
        <w:rPr>
          <w:rFonts w:hint="eastAsia"/>
          <w:szCs w:val="28"/>
          <w:shd w:val="clear" w:color="auto" w:fill="auto"/>
        </w:rPr>
        <w:fldChar w:fldCharType="separate"/>
      </w:r>
      <w:r>
        <w:rPr>
          <w:rFonts w:hint="eastAsia"/>
          <w:lang w:val="en-US" w:eastAsia="zh-CN"/>
        </w:rPr>
        <w:t>8 环境管理及环境风险防范</w:t>
      </w:r>
      <w:r>
        <w:tab/>
      </w:r>
      <w:r>
        <w:fldChar w:fldCharType="begin"/>
      </w:r>
      <w:r>
        <w:instrText xml:space="preserve"> PAGEREF _Toc10415 </w:instrText>
      </w:r>
      <w:r>
        <w:fldChar w:fldCharType="separate"/>
      </w:r>
      <w:r>
        <w:t>60</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_Toc8956 </w:instrText>
      </w:r>
      <w:r>
        <w:rPr>
          <w:rFonts w:hint="eastAsia"/>
          <w:szCs w:val="28"/>
          <w:shd w:val="clear" w:color="auto" w:fill="auto"/>
        </w:rPr>
        <w:fldChar w:fldCharType="separate"/>
      </w:r>
      <w:r>
        <w:rPr>
          <w:rFonts w:hint="eastAsia"/>
          <w:lang w:val="en-US" w:eastAsia="zh-CN"/>
        </w:rPr>
        <w:t>8.1 环境管理的目的</w:t>
      </w:r>
      <w:r>
        <w:tab/>
      </w:r>
      <w:r>
        <w:fldChar w:fldCharType="begin"/>
      </w:r>
      <w:r>
        <w:instrText xml:space="preserve"> PAGEREF _Toc8956 </w:instrText>
      </w:r>
      <w:r>
        <w:fldChar w:fldCharType="separate"/>
      </w:r>
      <w:r>
        <w:t>60</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_Toc29726 </w:instrText>
      </w:r>
      <w:r>
        <w:rPr>
          <w:rFonts w:hint="eastAsia"/>
          <w:szCs w:val="28"/>
          <w:shd w:val="clear" w:color="auto" w:fill="auto"/>
        </w:rPr>
        <w:fldChar w:fldCharType="separate"/>
      </w:r>
      <w:r>
        <w:rPr>
          <w:rFonts w:hint="eastAsia"/>
          <w:lang w:val="en-US" w:eastAsia="zh-CN"/>
        </w:rPr>
        <w:t>8.2 环境管理机构</w:t>
      </w:r>
      <w:r>
        <w:tab/>
      </w:r>
      <w:r>
        <w:fldChar w:fldCharType="begin"/>
      </w:r>
      <w:r>
        <w:instrText xml:space="preserve"> PAGEREF _Toc29726 </w:instrText>
      </w:r>
      <w:r>
        <w:fldChar w:fldCharType="separate"/>
      </w:r>
      <w:r>
        <w:t>60</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_Toc22091 </w:instrText>
      </w:r>
      <w:r>
        <w:rPr>
          <w:rFonts w:hint="eastAsia"/>
          <w:szCs w:val="28"/>
          <w:shd w:val="clear" w:color="auto" w:fill="auto"/>
        </w:rPr>
        <w:fldChar w:fldCharType="separate"/>
      </w:r>
      <w:r>
        <w:rPr>
          <w:rFonts w:hint="eastAsia"/>
          <w:lang w:val="en-US" w:eastAsia="zh-CN"/>
        </w:rPr>
        <w:t>8.3 环境保护管理制度</w:t>
      </w:r>
      <w:r>
        <w:tab/>
      </w:r>
      <w:r>
        <w:fldChar w:fldCharType="begin"/>
      </w:r>
      <w:r>
        <w:instrText xml:space="preserve"> PAGEREF _Toc22091 </w:instrText>
      </w:r>
      <w:r>
        <w:fldChar w:fldCharType="separate"/>
      </w:r>
      <w:r>
        <w:t>60</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_Toc11770 </w:instrText>
      </w:r>
      <w:r>
        <w:rPr>
          <w:rFonts w:hint="eastAsia"/>
          <w:szCs w:val="28"/>
          <w:shd w:val="clear" w:color="auto" w:fill="auto"/>
        </w:rPr>
        <w:fldChar w:fldCharType="separate"/>
      </w:r>
      <w:r>
        <w:rPr>
          <w:rFonts w:hint="eastAsia"/>
          <w:lang w:val="en-US" w:eastAsia="zh-CN"/>
        </w:rPr>
        <w:t>8.4</w:t>
      </w:r>
      <w:r>
        <w:t xml:space="preserve"> 建设项目</w:t>
      </w:r>
      <w:r>
        <w:rPr>
          <w:rFonts w:hint="eastAsia"/>
        </w:rPr>
        <w:t>“三同时”</w:t>
      </w:r>
      <w:r>
        <w:t>制度执行情况</w:t>
      </w:r>
      <w:r>
        <w:tab/>
      </w:r>
      <w:r>
        <w:fldChar w:fldCharType="begin"/>
      </w:r>
      <w:r>
        <w:instrText xml:space="preserve"> PAGEREF _Toc11770 </w:instrText>
      </w:r>
      <w:r>
        <w:fldChar w:fldCharType="separate"/>
      </w:r>
      <w:r>
        <w:t>60</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_Toc28535 </w:instrText>
      </w:r>
      <w:r>
        <w:rPr>
          <w:rFonts w:hint="eastAsia"/>
          <w:szCs w:val="28"/>
          <w:shd w:val="clear" w:color="auto" w:fill="auto"/>
        </w:rPr>
        <w:fldChar w:fldCharType="separate"/>
      </w:r>
      <w:r>
        <w:rPr>
          <w:rFonts w:hint="eastAsia"/>
          <w:lang w:val="en-US" w:eastAsia="zh-CN"/>
        </w:rPr>
        <w:t>8</w:t>
      </w:r>
      <w:r>
        <w:t>.</w:t>
      </w:r>
      <w:r>
        <w:rPr>
          <w:rFonts w:hint="eastAsia"/>
          <w:lang w:val="en-US" w:eastAsia="zh-CN"/>
        </w:rPr>
        <w:t>5</w:t>
      </w:r>
      <w:r>
        <w:t xml:space="preserve"> 环境保护机构设置、环境管理规章制度及落实情况</w:t>
      </w:r>
      <w:r>
        <w:tab/>
      </w:r>
      <w:r>
        <w:fldChar w:fldCharType="begin"/>
      </w:r>
      <w:r>
        <w:instrText xml:space="preserve"> PAGEREF _Toc28535 </w:instrText>
      </w:r>
      <w:r>
        <w:fldChar w:fldCharType="separate"/>
      </w:r>
      <w:r>
        <w:t>60</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_Toc18385 </w:instrText>
      </w:r>
      <w:r>
        <w:rPr>
          <w:rFonts w:hint="eastAsia"/>
          <w:szCs w:val="28"/>
          <w:shd w:val="clear" w:color="auto" w:fill="auto"/>
        </w:rPr>
        <w:fldChar w:fldCharType="separate"/>
      </w:r>
      <w:r>
        <w:rPr>
          <w:rFonts w:hint="eastAsia"/>
          <w:lang w:val="en-US" w:eastAsia="zh-CN"/>
        </w:rPr>
        <w:t>8</w:t>
      </w:r>
      <w:r>
        <w:t>.</w:t>
      </w:r>
      <w:r>
        <w:rPr>
          <w:rFonts w:hint="eastAsia"/>
          <w:lang w:val="en-US" w:eastAsia="zh-CN"/>
        </w:rPr>
        <w:t>6</w:t>
      </w:r>
      <w:r>
        <w:t xml:space="preserve"> 环保设施投资和环保设施运行及维护情况</w:t>
      </w:r>
      <w:r>
        <w:tab/>
      </w:r>
      <w:r>
        <w:fldChar w:fldCharType="begin"/>
      </w:r>
      <w:r>
        <w:instrText xml:space="preserve"> PAGEREF _Toc18385 </w:instrText>
      </w:r>
      <w:r>
        <w:fldChar w:fldCharType="separate"/>
      </w:r>
      <w:r>
        <w:t>61</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_Toc17667 </w:instrText>
      </w:r>
      <w:r>
        <w:rPr>
          <w:rFonts w:hint="eastAsia"/>
          <w:szCs w:val="28"/>
          <w:shd w:val="clear" w:color="auto" w:fill="auto"/>
        </w:rPr>
        <w:fldChar w:fldCharType="separate"/>
      </w:r>
      <w:r>
        <w:rPr>
          <w:rFonts w:hint="eastAsia"/>
          <w:lang w:val="en-US" w:eastAsia="zh-CN"/>
        </w:rPr>
        <w:t>8</w:t>
      </w:r>
      <w:r>
        <w:t>.</w:t>
      </w:r>
      <w:r>
        <w:rPr>
          <w:rFonts w:hint="eastAsia"/>
          <w:lang w:val="en-US" w:eastAsia="zh-CN"/>
        </w:rPr>
        <w:t>7</w:t>
      </w:r>
      <w:r>
        <w:t xml:space="preserve"> 固体废弃物的排放、利用及其处理处置情况</w:t>
      </w:r>
      <w:r>
        <w:tab/>
      </w:r>
      <w:r>
        <w:fldChar w:fldCharType="begin"/>
      </w:r>
      <w:r>
        <w:instrText xml:space="preserve"> PAGEREF _Toc17667 </w:instrText>
      </w:r>
      <w:r>
        <w:fldChar w:fldCharType="separate"/>
      </w:r>
      <w:r>
        <w:t>61</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_Toc25754 </w:instrText>
      </w:r>
      <w:r>
        <w:rPr>
          <w:rFonts w:hint="eastAsia"/>
          <w:szCs w:val="28"/>
          <w:shd w:val="clear" w:color="auto" w:fill="auto"/>
        </w:rPr>
        <w:fldChar w:fldCharType="separate"/>
      </w:r>
      <w:r>
        <w:rPr>
          <w:rFonts w:hint="eastAsia"/>
          <w:lang w:val="en-US" w:eastAsia="zh-CN"/>
        </w:rPr>
        <w:t>8.8 风险事故防范及应急措施调查</w:t>
      </w:r>
      <w:r>
        <w:tab/>
      </w:r>
      <w:r>
        <w:fldChar w:fldCharType="begin"/>
      </w:r>
      <w:r>
        <w:instrText xml:space="preserve"> PAGEREF _Toc25754 </w:instrText>
      </w:r>
      <w:r>
        <w:fldChar w:fldCharType="separate"/>
      </w:r>
      <w:r>
        <w:t>61</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_Toc645 </w:instrText>
      </w:r>
      <w:r>
        <w:rPr>
          <w:rFonts w:hint="eastAsia"/>
          <w:szCs w:val="28"/>
          <w:shd w:val="clear" w:color="auto" w:fill="auto"/>
        </w:rPr>
        <w:fldChar w:fldCharType="separate"/>
      </w:r>
      <w:r>
        <w:rPr>
          <w:rFonts w:hint="eastAsia"/>
          <w:lang w:val="en-US" w:eastAsia="zh-CN"/>
        </w:rPr>
        <w:t>8.9 调查结论</w:t>
      </w:r>
      <w:r>
        <w:tab/>
      </w:r>
      <w:r>
        <w:fldChar w:fldCharType="begin"/>
      </w:r>
      <w:r>
        <w:instrText xml:space="preserve"> PAGEREF _Toc645 </w:instrText>
      </w:r>
      <w:r>
        <w:fldChar w:fldCharType="separate"/>
      </w:r>
      <w:r>
        <w:t>68</w:t>
      </w:r>
      <w:r>
        <w:fldChar w:fldCharType="end"/>
      </w:r>
      <w:r>
        <w:rPr>
          <w:rFonts w:hint="eastAsia"/>
          <w:color w:val="FF0000"/>
          <w:szCs w:val="28"/>
          <w:shd w:val="clear" w:color="auto" w:fill="auto"/>
        </w:rPr>
        <w:fldChar w:fldCharType="end"/>
      </w:r>
    </w:p>
    <w:p>
      <w:pPr>
        <w:pStyle w:val="11"/>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_Toc11300 </w:instrText>
      </w:r>
      <w:r>
        <w:rPr>
          <w:rFonts w:hint="eastAsia"/>
          <w:szCs w:val="28"/>
          <w:shd w:val="clear" w:color="auto" w:fill="auto"/>
        </w:rPr>
        <w:fldChar w:fldCharType="separate"/>
      </w:r>
      <w:r>
        <w:rPr>
          <w:rFonts w:hint="eastAsia"/>
          <w:lang w:val="en-US" w:eastAsia="zh-CN"/>
        </w:rPr>
        <w:t>9 公众意见调查</w:t>
      </w:r>
      <w:r>
        <w:tab/>
      </w:r>
      <w:r>
        <w:fldChar w:fldCharType="begin"/>
      </w:r>
      <w:r>
        <w:instrText xml:space="preserve"> PAGEREF _Toc11300 </w:instrText>
      </w:r>
      <w:r>
        <w:fldChar w:fldCharType="separate"/>
      </w:r>
      <w:r>
        <w:t>69</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_Toc30930 </w:instrText>
      </w:r>
      <w:r>
        <w:rPr>
          <w:rFonts w:hint="eastAsia"/>
          <w:szCs w:val="28"/>
          <w:shd w:val="clear" w:color="auto" w:fill="auto"/>
        </w:rPr>
        <w:fldChar w:fldCharType="separate"/>
      </w:r>
      <w:r>
        <w:rPr>
          <w:rFonts w:hint="eastAsia"/>
          <w:lang w:val="en-US" w:eastAsia="zh-CN"/>
        </w:rPr>
        <w:t>9</w:t>
      </w:r>
      <w:r>
        <w:t>.1</w:t>
      </w:r>
      <w:r>
        <w:rPr>
          <w:rFonts w:hint="eastAsia"/>
        </w:rPr>
        <w:t xml:space="preserve"> 公众参与目的</w:t>
      </w:r>
      <w:r>
        <w:tab/>
      </w:r>
      <w:r>
        <w:fldChar w:fldCharType="begin"/>
      </w:r>
      <w:r>
        <w:instrText xml:space="preserve"> PAGEREF _Toc30930 </w:instrText>
      </w:r>
      <w:r>
        <w:fldChar w:fldCharType="separate"/>
      </w:r>
      <w:r>
        <w:t>69</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_Toc31508 </w:instrText>
      </w:r>
      <w:r>
        <w:rPr>
          <w:rFonts w:hint="eastAsia"/>
          <w:szCs w:val="28"/>
          <w:shd w:val="clear" w:color="auto" w:fill="auto"/>
        </w:rPr>
        <w:fldChar w:fldCharType="separate"/>
      </w:r>
      <w:r>
        <w:rPr>
          <w:rFonts w:hint="eastAsia"/>
          <w:lang w:val="en-US" w:eastAsia="zh-CN"/>
        </w:rPr>
        <w:t>9</w:t>
      </w:r>
      <w:r>
        <w:t>.2</w:t>
      </w:r>
      <w:r>
        <w:rPr>
          <w:rFonts w:hint="eastAsia"/>
        </w:rPr>
        <w:t xml:space="preserve"> 公众参与调查对象和方式</w:t>
      </w:r>
      <w:r>
        <w:tab/>
      </w:r>
      <w:r>
        <w:fldChar w:fldCharType="begin"/>
      </w:r>
      <w:r>
        <w:instrText xml:space="preserve"> PAGEREF _Toc31508 </w:instrText>
      </w:r>
      <w:r>
        <w:fldChar w:fldCharType="separate"/>
      </w:r>
      <w:r>
        <w:t>69</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_Toc11423 </w:instrText>
      </w:r>
      <w:r>
        <w:rPr>
          <w:rFonts w:hint="eastAsia"/>
          <w:szCs w:val="28"/>
          <w:shd w:val="clear" w:color="auto" w:fill="auto"/>
        </w:rPr>
        <w:fldChar w:fldCharType="separate"/>
      </w:r>
      <w:r>
        <w:rPr>
          <w:rFonts w:hint="eastAsia"/>
          <w:lang w:val="en-US" w:eastAsia="zh-CN"/>
        </w:rPr>
        <w:t>9</w:t>
      </w:r>
      <w:r>
        <w:t>.3</w:t>
      </w:r>
      <w:r>
        <w:rPr>
          <w:rFonts w:hint="eastAsia"/>
        </w:rPr>
        <w:t xml:space="preserve"> </w:t>
      </w:r>
      <w:r>
        <w:t>公众意见调查结果分析</w:t>
      </w:r>
      <w:r>
        <w:tab/>
      </w:r>
      <w:r>
        <w:fldChar w:fldCharType="begin"/>
      </w:r>
      <w:r>
        <w:instrText xml:space="preserve"> PAGEREF _Toc11423 </w:instrText>
      </w:r>
      <w:r>
        <w:fldChar w:fldCharType="separate"/>
      </w:r>
      <w:r>
        <w:t>72</w:t>
      </w:r>
      <w:r>
        <w:fldChar w:fldCharType="end"/>
      </w:r>
      <w:r>
        <w:rPr>
          <w:rFonts w:hint="eastAsia"/>
          <w:color w:val="FF0000"/>
          <w:szCs w:val="28"/>
          <w:shd w:val="clear" w:color="auto" w:fill="auto"/>
        </w:rPr>
        <w:fldChar w:fldCharType="end"/>
      </w:r>
    </w:p>
    <w:p>
      <w:pPr>
        <w:pStyle w:val="11"/>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_Toc23420 </w:instrText>
      </w:r>
      <w:r>
        <w:rPr>
          <w:rFonts w:hint="eastAsia"/>
          <w:szCs w:val="28"/>
          <w:shd w:val="clear" w:color="auto" w:fill="auto"/>
        </w:rPr>
        <w:fldChar w:fldCharType="separate"/>
      </w:r>
      <w:r>
        <w:rPr>
          <w:rFonts w:hint="eastAsia"/>
          <w:lang w:val="en-US" w:eastAsia="zh-CN"/>
        </w:rPr>
        <w:t>10 调查结论与建议</w:t>
      </w:r>
      <w:r>
        <w:tab/>
      </w:r>
      <w:r>
        <w:fldChar w:fldCharType="begin"/>
      </w:r>
      <w:r>
        <w:instrText xml:space="preserve"> PAGEREF _Toc23420 </w:instrText>
      </w:r>
      <w:r>
        <w:fldChar w:fldCharType="separate"/>
      </w:r>
      <w:r>
        <w:t>74</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_Toc32535 </w:instrText>
      </w:r>
      <w:r>
        <w:rPr>
          <w:rFonts w:hint="eastAsia"/>
          <w:szCs w:val="28"/>
          <w:shd w:val="clear" w:color="auto" w:fill="auto"/>
        </w:rPr>
        <w:fldChar w:fldCharType="separate"/>
      </w:r>
      <w:r>
        <w:rPr>
          <w:rFonts w:hint="eastAsia"/>
          <w:lang w:val="en-US" w:eastAsia="zh-CN"/>
        </w:rPr>
        <w:t xml:space="preserve">10.1 </w:t>
      </w:r>
      <w:r>
        <w:t>环境影响调查结论</w:t>
      </w:r>
      <w:r>
        <w:tab/>
      </w:r>
      <w:r>
        <w:fldChar w:fldCharType="begin"/>
      </w:r>
      <w:r>
        <w:instrText xml:space="preserve"> PAGEREF _Toc32535 </w:instrText>
      </w:r>
      <w:r>
        <w:fldChar w:fldCharType="separate"/>
      </w:r>
      <w:r>
        <w:t>74</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_Toc21406 </w:instrText>
      </w:r>
      <w:r>
        <w:rPr>
          <w:rFonts w:hint="eastAsia"/>
          <w:szCs w:val="28"/>
          <w:shd w:val="clear" w:color="auto" w:fill="auto"/>
        </w:rPr>
        <w:fldChar w:fldCharType="separate"/>
      </w:r>
      <w:r>
        <w:rPr>
          <w:rFonts w:hint="eastAsia"/>
        </w:rPr>
        <w:t>1</w:t>
      </w:r>
      <w:r>
        <w:rPr>
          <w:rFonts w:hint="eastAsia"/>
          <w:lang w:val="en-US" w:eastAsia="zh-CN"/>
        </w:rPr>
        <w:t>0</w:t>
      </w:r>
      <w:r>
        <w:rPr>
          <w:rFonts w:hint="eastAsia"/>
        </w:rPr>
        <w:t>.</w:t>
      </w:r>
      <w:r>
        <w:rPr>
          <w:rFonts w:hint="eastAsia"/>
          <w:lang w:val="en-US" w:eastAsia="zh-CN"/>
        </w:rPr>
        <w:t>2</w:t>
      </w:r>
      <w:r>
        <w:rPr>
          <w:rFonts w:hint="eastAsia"/>
        </w:rPr>
        <w:t xml:space="preserve"> 环境保</w:t>
      </w:r>
      <w:r>
        <w:rPr>
          <w:rFonts w:hint="eastAsia"/>
          <w:lang w:eastAsia="zh-CN"/>
        </w:rPr>
        <w:t>护措施调查结</w:t>
      </w:r>
      <w:r>
        <w:rPr>
          <w:rFonts w:hint="eastAsia"/>
        </w:rPr>
        <w:t>果</w:t>
      </w:r>
      <w:r>
        <w:tab/>
      </w:r>
      <w:r>
        <w:fldChar w:fldCharType="begin"/>
      </w:r>
      <w:r>
        <w:instrText xml:space="preserve"> PAGEREF _Toc21406 </w:instrText>
      </w:r>
      <w:r>
        <w:fldChar w:fldCharType="separate"/>
      </w:r>
      <w:r>
        <w:t>74</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_Toc26678 </w:instrText>
      </w:r>
      <w:r>
        <w:rPr>
          <w:rFonts w:hint="eastAsia"/>
          <w:szCs w:val="28"/>
          <w:shd w:val="clear" w:color="auto" w:fill="auto"/>
        </w:rPr>
        <w:fldChar w:fldCharType="separate"/>
      </w:r>
      <w:r>
        <w:rPr>
          <w:rFonts w:hint="eastAsia"/>
        </w:rPr>
        <w:t>1</w:t>
      </w:r>
      <w:r>
        <w:rPr>
          <w:rFonts w:hint="eastAsia"/>
          <w:lang w:val="en-US" w:eastAsia="zh-CN"/>
        </w:rPr>
        <w:t>0</w:t>
      </w:r>
      <w:r>
        <w:rPr>
          <w:rFonts w:hint="eastAsia"/>
        </w:rPr>
        <w:t>.</w:t>
      </w:r>
      <w:r>
        <w:rPr>
          <w:rFonts w:hint="eastAsia"/>
          <w:lang w:val="en-US" w:eastAsia="zh-CN"/>
        </w:rPr>
        <w:t>3</w:t>
      </w:r>
      <w:r>
        <w:rPr>
          <w:rFonts w:hint="eastAsia"/>
        </w:rPr>
        <w:t xml:space="preserve"> 工程建设对环境的影响</w:t>
      </w:r>
      <w:r>
        <w:tab/>
      </w:r>
      <w:r>
        <w:fldChar w:fldCharType="begin"/>
      </w:r>
      <w:r>
        <w:instrText xml:space="preserve"> PAGEREF _Toc26678 </w:instrText>
      </w:r>
      <w:r>
        <w:fldChar w:fldCharType="separate"/>
      </w:r>
      <w:r>
        <w:t>75</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_Toc17239 </w:instrText>
      </w:r>
      <w:r>
        <w:rPr>
          <w:rFonts w:hint="eastAsia"/>
          <w:szCs w:val="28"/>
          <w:shd w:val="clear" w:color="auto" w:fill="auto"/>
        </w:rPr>
        <w:fldChar w:fldCharType="separate"/>
      </w:r>
      <w:r>
        <w:rPr>
          <w:rFonts w:hint="eastAsia"/>
          <w:lang w:val="en-US" w:eastAsia="zh-CN"/>
        </w:rPr>
        <w:t>10.4 调查结论</w:t>
      </w:r>
      <w:r>
        <w:tab/>
      </w:r>
      <w:r>
        <w:fldChar w:fldCharType="begin"/>
      </w:r>
      <w:r>
        <w:instrText xml:space="preserve"> PAGEREF _Toc17239 </w:instrText>
      </w:r>
      <w:r>
        <w:fldChar w:fldCharType="separate"/>
      </w:r>
      <w:r>
        <w:t>75</w:t>
      </w:r>
      <w:r>
        <w:fldChar w:fldCharType="end"/>
      </w:r>
      <w:r>
        <w:rPr>
          <w:rFonts w:hint="eastAsia"/>
          <w:color w:val="FF0000"/>
          <w:szCs w:val="28"/>
          <w:shd w:val="clear" w:color="auto" w:fill="auto"/>
        </w:rPr>
        <w:fldChar w:fldCharType="end"/>
      </w:r>
    </w:p>
    <w:p>
      <w:pPr>
        <w:pStyle w:val="12"/>
        <w:tabs>
          <w:tab w:val="right" w:leader="dot" w:pos="8306"/>
        </w:tabs>
      </w:pPr>
      <w:r>
        <w:rPr>
          <w:rFonts w:hint="eastAsia"/>
          <w:color w:val="FF0000"/>
          <w:szCs w:val="28"/>
          <w:shd w:val="clear" w:color="auto" w:fill="auto"/>
        </w:rPr>
        <w:fldChar w:fldCharType="begin"/>
      </w:r>
      <w:r>
        <w:rPr>
          <w:rFonts w:hint="eastAsia"/>
          <w:szCs w:val="28"/>
          <w:shd w:val="clear" w:color="auto" w:fill="auto"/>
        </w:rPr>
        <w:instrText xml:space="preserve"> HYPERLINK \l _Toc14570 </w:instrText>
      </w:r>
      <w:r>
        <w:rPr>
          <w:rFonts w:hint="eastAsia"/>
          <w:szCs w:val="28"/>
          <w:shd w:val="clear" w:color="auto" w:fill="auto"/>
        </w:rPr>
        <w:fldChar w:fldCharType="separate"/>
      </w:r>
      <w:r>
        <w:rPr>
          <w:rFonts w:hint="eastAsia"/>
          <w:lang w:val="en-US" w:eastAsia="zh-CN"/>
        </w:rPr>
        <w:t>10.5 针对工程建议</w:t>
      </w:r>
      <w:r>
        <w:tab/>
      </w:r>
      <w:r>
        <w:fldChar w:fldCharType="begin"/>
      </w:r>
      <w:r>
        <w:instrText xml:space="preserve"> PAGEREF _Toc14570 </w:instrText>
      </w:r>
      <w:r>
        <w:fldChar w:fldCharType="separate"/>
      </w:r>
      <w:r>
        <w:t>75</w:t>
      </w:r>
      <w:r>
        <w:fldChar w:fldCharType="end"/>
      </w:r>
      <w:r>
        <w:rPr>
          <w:rFonts w:hint="eastAsia"/>
          <w:color w:val="FF0000"/>
          <w:szCs w:val="28"/>
          <w:shd w:val="clear" w:color="auto" w:fill="auto"/>
        </w:rPr>
        <w:fldChar w:fldCharType="end"/>
      </w:r>
    </w:p>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both"/>
        <w:textAlignment w:val="auto"/>
        <w:outlineLvl w:val="9"/>
        <w:rPr>
          <w:rFonts w:hint="eastAsia"/>
          <w:color w:val="C00000"/>
          <w:sz w:val="28"/>
          <w:szCs w:val="28"/>
          <w:shd w:val="clear" w:color="auto" w:fill="auto"/>
        </w:rPr>
      </w:pPr>
      <w:r>
        <w:rPr>
          <w:rFonts w:hint="eastAsia"/>
          <w:color w:val="FF0000"/>
          <w:szCs w:val="28"/>
          <w:shd w:val="clear" w:color="auto" w:fill="auto"/>
        </w:rPr>
        <w:fldChar w:fldCharType="end"/>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ascii="Times New Roman" w:hAnsi="Times New Roman" w:eastAsia="宋体" w:cs="Times New Roman"/>
          <w:color w:val="C00000"/>
          <w:sz w:val="24"/>
          <w:szCs w:val="24"/>
          <w:shd w:val="clear" w:color="auto" w:fill="auto"/>
          <w:lang w:eastAsia="zh-CN"/>
        </w:rPr>
      </w:pPr>
    </w:p>
    <w:bookmarkEnd w:id="4"/>
    <w:bookmarkEnd w:id="5"/>
    <w:p>
      <w:pPr>
        <w:rPr>
          <w:rFonts w:hint="eastAsia" w:ascii="仿宋" w:hAnsi="仿宋" w:eastAsia="仿宋" w:cs="仿宋"/>
          <w:b/>
          <w:bCs w:val="0"/>
          <w:color w:val="auto"/>
          <w:sz w:val="24"/>
          <w:szCs w:val="24"/>
          <w:shd w:val="clear" w:color="auto" w:fill="auto"/>
        </w:rPr>
      </w:pPr>
      <w:r>
        <w:rPr>
          <w:rFonts w:hint="eastAsia" w:ascii="仿宋" w:hAnsi="仿宋" w:eastAsia="仿宋" w:cs="仿宋"/>
          <w:b/>
          <w:bCs w:val="0"/>
          <w:color w:val="auto"/>
          <w:sz w:val="24"/>
          <w:szCs w:val="24"/>
          <w:shd w:val="clear" w:color="auto" w:fill="auto"/>
        </w:rPr>
        <w:t>附件</w:t>
      </w:r>
      <w:r>
        <w:rPr>
          <w:rFonts w:hint="eastAsia" w:ascii="仿宋" w:hAnsi="仿宋" w:eastAsia="仿宋" w:cs="仿宋"/>
          <w:b/>
          <w:bCs w:val="0"/>
          <w:color w:val="auto"/>
          <w:sz w:val="24"/>
          <w:szCs w:val="24"/>
          <w:shd w:val="clear" w:color="auto" w:fill="auto"/>
          <w:lang w:eastAsia="zh-CN"/>
        </w:rPr>
        <w:t>一</w:t>
      </w:r>
      <w:r>
        <w:rPr>
          <w:rFonts w:hint="eastAsia" w:ascii="仿宋" w:hAnsi="仿宋" w:eastAsia="仿宋" w:cs="仿宋"/>
          <w:b/>
          <w:bCs w:val="0"/>
          <w:color w:val="auto"/>
          <w:sz w:val="24"/>
          <w:szCs w:val="24"/>
          <w:shd w:val="clear" w:color="auto" w:fill="auto"/>
        </w:rPr>
        <w:t xml:space="preserve"> 委托书</w:t>
      </w:r>
    </w:p>
    <w:p>
      <w:pPr>
        <w:rPr>
          <w:rFonts w:hint="eastAsia" w:ascii="仿宋" w:hAnsi="仿宋" w:eastAsia="仿宋" w:cs="仿宋"/>
          <w:b/>
          <w:bCs w:val="0"/>
          <w:color w:val="auto"/>
          <w:sz w:val="24"/>
          <w:szCs w:val="24"/>
          <w:shd w:val="clear" w:color="auto" w:fill="auto"/>
          <w:lang w:val="en-US" w:eastAsia="zh-CN"/>
        </w:rPr>
      </w:pPr>
      <w:r>
        <w:rPr>
          <w:rFonts w:hint="eastAsia" w:ascii="仿宋" w:hAnsi="仿宋" w:eastAsia="仿宋" w:cs="仿宋"/>
          <w:b/>
          <w:bCs w:val="0"/>
          <w:color w:val="auto"/>
          <w:sz w:val="24"/>
          <w:szCs w:val="24"/>
          <w:shd w:val="clear" w:color="auto" w:fill="auto"/>
        </w:rPr>
        <w:t>附件</w:t>
      </w:r>
      <w:r>
        <w:rPr>
          <w:rFonts w:hint="eastAsia" w:ascii="仿宋" w:hAnsi="仿宋" w:eastAsia="仿宋" w:cs="仿宋"/>
          <w:b/>
          <w:bCs w:val="0"/>
          <w:color w:val="auto"/>
          <w:sz w:val="24"/>
          <w:szCs w:val="24"/>
          <w:shd w:val="clear" w:color="auto" w:fill="auto"/>
          <w:lang w:eastAsia="zh-CN"/>
        </w:rPr>
        <w:t>二</w:t>
      </w:r>
      <w:r>
        <w:rPr>
          <w:rFonts w:hint="eastAsia" w:ascii="仿宋" w:hAnsi="仿宋" w:eastAsia="仿宋" w:cs="仿宋"/>
          <w:b/>
          <w:bCs w:val="0"/>
          <w:color w:val="auto"/>
          <w:sz w:val="24"/>
          <w:szCs w:val="24"/>
          <w:shd w:val="clear" w:color="auto" w:fill="auto"/>
          <w:lang w:val="en-US" w:eastAsia="zh-CN"/>
        </w:rPr>
        <w:t xml:space="preserve"> </w:t>
      </w:r>
      <w:r>
        <w:rPr>
          <w:rFonts w:hint="eastAsia" w:ascii="仿宋" w:hAnsi="仿宋" w:eastAsia="仿宋" w:cs="仿宋"/>
          <w:b/>
          <w:bCs w:val="0"/>
          <w:color w:val="auto"/>
          <w:sz w:val="24"/>
          <w:szCs w:val="24"/>
          <w:shd w:val="clear" w:color="auto" w:fill="auto"/>
        </w:rPr>
        <w:t>环评批复</w:t>
      </w:r>
    </w:p>
    <w:p>
      <w:pPr>
        <w:rPr>
          <w:rFonts w:hint="eastAsia" w:ascii="仿宋" w:hAnsi="仿宋" w:eastAsia="仿宋" w:cs="仿宋"/>
          <w:b/>
          <w:bCs w:val="0"/>
          <w:color w:val="auto"/>
          <w:sz w:val="24"/>
          <w:szCs w:val="24"/>
          <w:shd w:val="clear" w:color="auto" w:fill="auto"/>
          <w:lang w:val="en-US" w:eastAsia="zh-CN"/>
        </w:rPr>
      </w:pPr>
      <w:r>
        <w:rPr>
          <w:rFonts w:hint="eastAsia" w:ascii="仿宋" w:hAnsi="仿宋" w:eastAsia="仿宋" w:cs="仿宋"/>
          <w:b/>
          <w:bCs w:val="0"/>
          <w:color w:val="auto"/>
          <w:sz w:val="24"/>
          <w:szCs w:val="24"/>
          <w:shd w:val="clear" w:color="auto" w:fill="auto"/>
          <w:lang w:val="en-US" w:eastAsia="zh-CN"/>
        </w:rPr>
        <w:t>附件三 安全生产许可证</w:t>
      </w:r>
    </w:p>
    <w:p>
      <w:pPr>
        <w:rPr>
          <w:rFonts w:hint="eastAsia" w:ascii="仿宋" w:hAnsi="仿宋" w:eastAsia="仿宋" w:cs="仿宋"/>
          <w:b/>
          <w:bCs w:val="0"/>
          <w:color w:val="auto"/>
          <w:sz w:val="24"/>
          <w:szCs w:val="24"/>
          <w:shd w:val="clear" w:color="auto" w:fill="auto"/>
          <w:lang w:val="en-US" w:eastAsia="zh-CN"/>
        </w:rPr>
      </w:pPr>
      <w:r>
        <w:rPr>
          <w:rFonts w:hint="eastAsia" w:ascii="仿宋" w:hAnsi="仿宋" w:eastAsia="仿宋" w:cs="仿宋"/>
          <w:b/>
          <w:bCs w:val="0"/>
          <w:color w:val="auto"/>
          <w:sz w:val="24"/>
          <w:szCs w:val="24"/>
          <w:shd w:val="clear" w:color="auto" w:fill="auto"/>
          <w:lang w:val="en-US" w:eastAsia="zh-CN"/>
        </w:rPr>
        <w:t>附件四 采矿许可证</w:t>
      </w:r>
    </w:p>
    <w:p>
      <w:pPr>
        <w:rPr>
          <w:rFonts w:hint="eastAsia" w:ascii="仿宋" w:hAnsi="仿宋" w:eastAsia="仿宋" w:cs="仿宋"/>
          <w:b/>
          <w:bCs w:val="0"/>
          <w:color w:val="auto"/>
          <w:sz w:val="24"/>
          <w:szCs w:val="24"/>
          <w:shd w:val="clear" w:color="auto" w:fill="auto"/>
          <w:lang w:val="en-US" w:eastAsia="zh-CN"/>
        </w:rPr>
      </w:pPr>
      <w:r>
        <w:rPr>
          <w:rFonts w:hint="eastAsia" w:ascii="仿宋" w:hAnsi="仿宋" w:eastAsia="仿宋" w:cs="仿宋"/>
          <w:b/>
          <w:bCs w:val="0"/>
          <w:color w:val="auto"/>
          <w:sz w:val="24"/>
          <w:szCs w:val="24"/>
          <w:shd w:val="clear" w:color="auto" w:fill="auto"/>
          <w:lang w:val="en-US" w:eastAsia="zh-CN"/>
        </w:rPr>
        <w:t>附件五 营业执照</w:t>
      </w:r>
    </w:p>
    <w:p>
      <w:pPr>
        <w:jc w:val="both"/>
        <w:rPr>
          <w:rFonts w:hint="eastAsia" w:ascii="仿宋" w:hAnsi="仿宋" w:eastAsia="仿宋" w:cs="仿宋"/>
          <w:b/>
          <w:bCs w:val="0"/>
          <w:color w:val="auto"/>
          <w:sz w:val="24"/>
          <w:szCs w:val="24"/>
          <w:lang w:val="en-US" w:eastAsia="zh-CN"/>
        </w:rPr>
      </w:pPr>
      <w:r>
        <w:rPr>
          <w:rFonts w:hint="eastAsia" w:ascii="仿宋" w:hAnsi="仿宋" w:eastAsia="仿宋" w:cs="仿宋"/>
          <w:b/>
          <w:bCs w:val="0"/>
          <w:color w:val="auto"/>
          <w:sz w:val="24"/>
          <w:szCs w:val="24"/>
          <w:shd w:val="clear" w:color="auto" w:fill="auto"/>
          <w:lang w:val="en-US" w:eastAsia="zh-CN"/>
        </w:rPr>
        <w:t xml:space="preserve">附件六 </w:t>
      </w:r>
      <w:r>
        <w:rPr>
          <w:rFonts w:hint="eastAsia" w:ascii="仿宋" w:hAnsi="仿宋" w:eastAsia="仿宋" w:cs="仿宋"/>
          <w:b/>
          <w:bCs w:val="0"/>
          <w:color w:val="auto"/>
          <w:sz w:val="24"/>
          <w:szCs w:val="24"/>
          <w:shd w:val="clear" w:color="auto" w:fill="auto"/>
          <w:lang w:eastAsia="zh-CN"/>
        </w:rPr>
        <w:t>世源矿业环评批复</w:t>
      </w:r>
    </w:p>
    <w:p>
      <w:pPr>
        <w:jc w:val="both"/>
        <w:rPr>
          <w:rFonts w:hint="eastAsia" w:ascii="仿宋" w:hAnsi="仿宋" w:eastAsia="仿宋" w:cs="仿宋"/>
          <w:b/>
          <w:bCs w:val="0"/>
          <w:color w:val="auto"/>
          <w:sz w:val="24"/>
          <w:szCs w:val="24"/>
          <w:lang w:val="en-US" w:eastAsia="zh-CN"/>
        </w:rPr>
      </w:pPr>
      <w:r>
        <w:rPr>
          <w:rFonts w:hint="eastAsia" w:ascii="仿宋" w:hAnsi="仿宋" w:eastAsia="仿宋" w:cs="仿宋"/>
          <w:b/>
          <w:bCs w:val="0"/>
          <w:color w:val="auto"/>
          <w:sz w:val="24"/>
          <w:szCs w:val="24"/>
          <w:lang w:eastAsia="zh-CN"/>
        </w:rPr>
        <w:t>附件七</w:t>
      </w:r>
      <w:r>
        <w:rPr>
          <w:rFonts w:hint="eastAsia" w:ascii="仿宋" w:hAnsi="仿宋" w:eastAsia="仿宋" w:cs="仿宋"/>
          <w:b/>
          <w:bCs w:val="0"/>
          <w:color w:val="auto"/>
          <w:sz w:val="24"/>
          <w:szCs w:val="24"/>
          <w:lang w:val="en-US" w:eastAsia="zh-CN"/>
        </w:rPr>
        <w:t xml:space="preserve"> 世源矿业环评确认函</w:t>
      </w:r>
    </w:p>
    <w:p>
      <w:pPr>
        <w:jc w:val="both"/>
        <w:rPr>
          <w:rFonts w:hint="eastAsia" w:ascii="仿宋" w:hAnsi="仿宋" w:eastAsia="仿宋" w:cs="仿宋"/>
          <w:b/>
          <w:bCs w:val="0"/>
          <w:color w:val="auto"/>
          <w:sz w:val="24"/>
          <w:szCs w:val="24"/>
          <w:lang w:val="en-US" w:eastAsia="zh-CN"/>
        </w:rPr>
      </w:pPr>
      <w:r>
        <w:rPr>
          <w:rFonts w:hint="eastAsia" w:ascii="仿宋" w:hAnsi="仿宋" w:eastAsia="仿宋" w:cs="仿宋"/>
          <w:b/>
          <w:bCs w:val="0"/>
          <w:color w:val="auto"/>
          <w:sz w:val="24"/>
          <w:szCs w:val="24"/>
          <w:lang w:val="en-US" w:eastAsia="zh-CN"/>
        </w:rPr>
        <w:t>附件八 世源矿业验收批复</w:t>
      </w:r>
    </w:p>
    <w:p>
      <w:pPr>
        <w:jc w:val="both"/>
        <w:rPr>
          <w:rFonts w:hint="eastAsia" w:ascii="仿宋" w:hAnsi="仿宋" w:eastAsia="仿宋" w:cs="仿宋"/>
          <w:b/>
          <w:bCs w:val="0"/>
          <w:color w:val="auto"/>
          <w:sz w:val="24"/>
          <w:szCs w:val="24"/>
          <w:shd w:val="clear" w:color="auto" w:fill="auto"/>
        </w:rPr>
      </w:pPr>
      <w:r>
        <w:rPr>
          <w:rFonts w:hint="eastAsia" w:ascii="仿宋" w:hAnsi="仿宋" w:eastAsia="仿宋" w:cs="仿宋"/>
          <w:b/>
          <w:bCs w:val="0"/>
          <w:color w:val="auto"/>
          <w:sz w:val="24"/>
          <w:szCs w:val="24"/>
          <w:lang w:val="en-US" w:eastAsia="zh-CN"/>
        </w:rPr>
        <w:t>附件九 水土保持验收批复</w:t>
      </w:r>
    </w:p>
    <w:p>
      <w:pPr>
        <w:rPr>
          <w:rFonts w:hint="eastAsia" w:ascii="仿宋" w:hAnsi="仿宋" w:eastAsia="仿宋" w:cs="仿宋"/>
          <w:b/>
          <w:bCs w:val="0"/>
          <w:color w:val="auto"/>
          <w:sz w:val="24"/>
          <w:szCs w:val="24"/>
          <w:shd w:val="clear" w:color="auto" w:fill="auto"/>
        </w:rPr>
      </w:pPr>
      <w:r>
        <w:rPr>
          <w:rFonts w:hint="eastAsia" w:ascii="仿宋" w:hAnsi="仿宋" w:eastAsia="仿宋" w:cs="仿宋"/>
          <w:b/>
          <w:bCs w:val="0"/>
          <w:color w:val="auto"/>
          <w:sz w:val="24"/>
          <w:szCs w:val="24"/>
          <w:lang w:val="en-US" w:eastAsia="zh-CN"/>
        </w:rPr>
        <w:t>附件十 应急预案备案表</w:t>
      </w:r>
    </w:p>
    <w:p>
      <w:pPr>
        <w:rPr>
          <w:rFonts w:hint="eastAsia" w:ascii="仿宋" w:hAnsi="仿宋" w:eastAsia="仿宋" w:cs="仿宋"/>
          <w:b/>
          <w:bCs w:val="0"/>
          <w:color w:val="auto"/>
          <w:sz w:val="24"/>
          <w:szCs w:val="24"/>
          <w:shd w:val="clear" w:color="auto" w:fill="auto"/>
        </w:rPr>
      </w:pPr>
      <w:r>
        <w:rPr>
          <w:rFonts w:hint="eastAsia" w:ascii="仿宋" w:hAnsi="仿宋" w:eastAsia="仿宋" w:cs="仿宋"/>
          <w:b/>
          <w:bCs w:val="0"/>
          <w:color w:val="auto"/>
          <w:sz w:val="24"/>
          <w:szCs w:val="24"/>
          <w:shd w:val="clear" w:color="auto" w:fill="auto"/>
        </w:rPr>
        <w:t>附件</w:t>
      </w:r>
      <w:r>
        <w:rPr>
          <w:rFonts w:hint="eastAsia" w:ascii="仿宋" w:hAnsi="仿宋" w:eastAsia="仿宋" w:cs="仿宋"/>
          <w:b/>
          <w:bCs w:val="0"/>
          <w:color w:val="auto"/>
          <w:sz w:val="24"/>
          <w:szCs w:val="24"/>
          <w:shd w:val="clear" w:color="auto" w:fill="auto"/>
          <w:lang w:eastAsia="zh-CN"/>
        </w:rPr>
        <w:t>十一</w:t>
      </w:r>
      <w:r>
        <w:rPr>
          <w:rFonts w:hint="eastAsia" w:ascii="仿宋" w:hAnsi="仿宋" w:eastAsia="仿宋" w:cs="仿宋"/>
          <w:b/>
          <w:bCs w:val="0"/>
          <w:color w:val="auto"/>
          <w:sz w:val="24"/>
          <w:szCs w:val="24"/>
          <w:shd w:val="clear" w:color="auto" w:fill="auto"/>
        </w:rPr>
        <w:t xml:space="preserve"> 项目地理位置图</w:t>
      </w:r>
    </w:p>
    <w:p>
      <w:pPr>
        <w:rPr>
          <w:rFonts w:hint="eastAsia" w:ascii="仿宋" w:hAnsi="仿宋" w:eastAsia="仿宋" w:cs="仿宋"/>
          <w:b/>
          <w:bCs w:val="0"/>
          <w:color w:val="auto"/>
          <w:sz w:val="24"/>
          <w:szCs w:val="24"/>
          <w:shd w:val="clear" w:color="auto" w:fill="auto"/>
        </w:rPr>
      </w:pPr>
      <w:r>
        <w:rPr>
          <w:rFonts w:hint="eastAsia" w:ascii="仿宋" w:hAnsi="仿宋" w:eastAsia="仿宋" w:cs="仿宋"/>
          <w:b/>
          <w:bCs w:val="0"/>
          <w:color w:val="auto"/>
          <w:sz w:val="24"/>
          <w:szCs w:val="24"/>
          <w:shd w:val="clear" w:color="auto" w:fill="auto"/>
        </w:rPr>
        <w:t>附件</w:t>
      </w:r>
      <w:r>
        <w:rPr>
          <w:rFonts w:hint="eastAsia" w:ascii="仿宋" w:hAnsi="仿宋" w:eastAsia="仿宋" w:cs="仿宋"/>
          <w:b/>
          <w:bCs w:val="0"/>
          <w:color w:val="auto"/>
          <w:sz w:val="24"/>
          <w:szCs w:val="24"/>
          <w:shd w:val="clear" w:color="auto" w:fill="auto"/>
          <w:lang w:eastAsia="zh-CN"/>
        </w:rPr>
        <w:t>十二</w:t>
      </w:r>
      <w:r>
        <w:rPr>
          <w:rFonts w:hint="eastAsia" w:ascii="仿宋" w:hAnsi="仿宋" w:eastAsia="仿宋" w:cs="仿宋"/>
          <w:b/>
          <w:bCs w:val="0"/>
          <w:color w:val="auto"/>
          <w:sz w:val="24"/>
          <w:szCs w:val="24"/>
          <w:shd w:val="clear" w:color="auto" w:fill="auto"/>
        </w:rPr>
        <w:t xml:space="preserve"> </w:t>
      </w:r>
      <w:r>
        <w:rPr>
          <w:rFonts w:hint="eastAsia" w:ascii="仿宋" w:hAnsi="仿宋" w:eastAsia="仿宋" w:cs="仿宋"/>
          <w:b/>
          <w:bCs w:val="0"/>
          <w:color w:val="auto"/>
          <w:sz w:val="24"/>
          <w:szCs w:val="24"/>
          <w:shd w:val="clear" w:color="auto" w:fill="auto"/>
          <w:lang w:val="en-US" w:eastAsia="zh-CN"/>
        </w:rPr>
        <w:t>厂区平面布置图</w:t>
      </w:r>
    </w:p>
    <w:p>
      <w:pPr>
        <w:keepNext w:val="0"/>
        <w:keepLines w:val="0"/>
        <w:widowControl/>
        <w:suppressLineNumbers w:val="0"/>
        <w:jc w:val="both"/>
        <w:rPr>
          <w:rFonts w:hint="eastAsia" w:ascii="仿宋" w:hAnsi="仿宋" w:eastAsia="仿宋" w:cs="仿宋"/>
          <w:b/>
          <w:bCs w:val="0"/>
          <w:color w:val="auto"/>
          <w:kern w:val="0"/>
          <w:sz w:val="24"/>
          <w:szCs w:val="24"/>
          <w:lang w:val="en-US" w:eastAsia="zh-CN" w:bidi="ar"/>
        </w:rPr>
      </w:pPr>
      <w:r>
        <w:rPr>
          <w:rFonts w:hint="eastAsia" w:ascii="仿宋" w:hAnsi="仿宋" w:eastAsia="仿宋" w:cs="仿宋"/>
          <w:b/>
          <w:bCs w:val="0"/>
          <w:color w:val="auto"/>
          <w:kern w:val="0"/>
          <w:sz w:val="24"/>
          <w:szCs w:val="24"/>
          <w:lang w:val="en-US" w:eastAsia="zh-CN" w:bidi="ar"/>
        </w:rPr>
        <w:t>附件十三 工况证明</w:t>
      </w:r>
    </w:p>
    <w:p>
      <w:pPr>
        <w:keepNext w:val="0"/>
        <w:keepLines w:val="0"/>
        <w:widowControl/>
        <w:suppressLineNumbers w:val="0"/>
        <w:jc w:val="both"/>
        <w:rPr>
          <w:rFonts w:hint="eastAsia" w:ascii="仿宋" w:hAnsi="仿宋" w:eastAsia="仿宋" w:cs="仿宋"/>
          <w:b/>
          <w:bCs w:val="0"/>
          <w:color w:val="auto"/>
          <w:kern w:val="0"/>
          <w:sz w:val="24"/>
          <w:szCs w:val="24"/>
          <w:lang w:val="en-US" w:eastAsia="zh-CN" w:bidi="ar"/>
        </w:rPr>
      </w:pPr>
      <w:r>
        <w:rPr>
          <w:rFonts w:hint="eastAsia" w:ascii="仿宋" w:hAnsi="仿宋" w:eastAsia="仿宋" w:cs="仿宋"/>
          <w:b/>
          <w:bCs w:val="0"/>
          <w:color w:val="auto"/>
          <w:kern w:val="0"/>
          <w:sz w:val="24"/>
          <w:szCs w:val="24"/>
          <w:lang w:val="en-US" w:eastAsia="zh-CN" w:bidi="ar"/>
        </w:rPr>
        <w:t>附件十四 公众参与样表</w:t>
      </w:r>
    </w:p>
    <w:p>
      <w:pPr>
        <w:keepNext w:val="0"/>
        <w:keepLines w:val="0"/>
        <w:widowControl/>
        <w:suppressLineNumbers w:val="0"/>
        <w:jc w:val="both"/>
        <w:rPr>
          <w:rFonts w:hint="eastAsia" w:ascii="仿宋" w:hAnsi="仿宋" w:eastAsia="仿宋" w:cs="仿宋"/>
          <w:b/>
          <w:bCs w:val="0"/>
          <w:color w:val="auto"/>
          <w:kern w:val="0"/>
          <w:sz w:val="24"/>
          <w:szCs w:val="24"/>
          <w:lang w:val="en-US" w:eastAsia="zh-CN" w:bidi="ar"/>
        </w:rPr>
      </w:pPr>
      <w:r>
        <w:rPr>
          <w:rFonts w:hint="eastAsia" w:ascii="仿宋" w:hAnsi="仿宋" w:eastAsia="仿宋" w:cs="仿宋"/>
          <w:b/>
          <w:bCs w:val="0"/>
          <w:color w:val="auto"/>
          <w:kern w:val="0"/>
          <w:sz w:val="24"/>
          <w:szCs w:val="24"/>
          <w:lang w:val="en-US" w:eastAsia="zh-CN" w:bidi="ar"/>
        </w:rPr>
        <w:t>附件十五 大气采样仪器检定证书</w:t>
      </w:r>
    </w:p>
    <w:p>
      <w:pPr>
        <w:rPr>
          <w:rFonts w:hint="eastAsia" w:ascii="仿宋" w:hAnsi="仿宋" w:eastAsia="仿宋" w:cs="仿宋"/>
          <w:b/>
          <w:bCs w:val="0"/>
          <w:color w:val="auto"/>
          <w:sz w:val="24"/>
          <w:szCs w:val="24"/>
          <w:shd w:val="clear" w:color="auto" w:fill="auto"/>
          <w:lang w:val="en-US" w:eastAsia="zh-CN"/>
        </w:rPr>
      </w:pPr>
      <w:r>
        <w:rPr>
          <w:rFonts w:hint="eastAsia" w:ascii="仿宋" w:hAnsi="仿宋" w:eastAsia="仿宋" w:cs="仿宋"/>
          <w:b/>
          <w:bCs w:val="0"/>
          <w:color w:val="auto"/>
          <w:sz w:val="24"/>
          <w:szCs w:val="24"/>
          <w:shd w:val="clear" w:color="auto" w:fill="auto"/>
          <w:lang w:val="en-US" w:eastAsia="zh-CN"/>
        </w:rPr>
        <w:t>附件十六 原矿加工合同</w:t>
      </w:r>
    </w:p>
    <w:p>
      <w:pPr>
        <w:rPr>
          <w:rFonts w:hint="eastAsia" w:ascii="仿宋" w:hAnsi="仿宋" w:eastAsia="仿宋" w:cs="仿宋"/>
          <w:b/>
          <w:bCs w:val="0"/>
          <w:color w:val="auto"/>
          <w:sz w:val="24"/>
          <w:szCs w:val="24"/>
          <w:shd w:val="clear" w:color="auto" w:fill="auto"/>
          <w:lang w:val="en-US" w:eastAsia="zh-CN"/>
        </w:rPr>
      </w:pPr>
      <w:r>
        <w:rPr>
          <w:rFonts w:hint="eastAsia" w:ascii="仿宋" w:hAnsi="仿宋" w:eastAsia="仿宋" w:cs="仿宋"/>
          <w:b/>
          <w:bCs w:val="0"/>
          <w:color w:val="auto"/>
          <w:sz w:val="24"/>
          <w:szCs w:val="24"/>
          <w:shd w:val="clear" w:color="auto" w:fill="auto"/>
          <w:lang w:val="en-US" w:eastAsia="zh-CN"/>
        </w:rPr>
        <w:t>附件十七 废水接收函</w:t>
      </w:r>
    </w:p>
    <w:p>
      <w:pPr>
        <w:rPr>
          <w:rFonts w:hint="eastAsia" w:ascii="仿宋" w:hAnsi="仿宋" w:eastAsia="仿宋" w:cs="仿宋"/>
          <w:b/>
          <w:bCs w:val="0"/>
          <w:color w:val="auto"/>
          <w:sz w:val="24"/>
          <w:szCs w:val="24"/>
          <w:shd w:val="clear" w:color="auto" w:fill="auto"/>
          <w:lang w:val="en-US" w:eastAsia="zh-CN"/>
        </w:rPr>
      </w:pPr>
      <w:r>
        <w:rPr>
          <w:rFonts w:hint="eastAsia" w:ascii="仿宋" w:hAnsi="仿宋" w:eastAsia="仿宋" w:cs="仿宋"/>
          <w:b/>
          <w:bCs w:val="0"/>
          <w:color w:val="auto"/>
          <w:sz w:val="24"/>
          <w:szCs w:val="24"/>
          <w:shd w:val="clear" w:color="auto" w:fill="auto"/>
          <w:lang w:val="en-US" w:eastAsia="zh-CN"/>
        </w:rPr>
        <w:t>附件十八 项目总平面布置图</w:t>
      </w:r>
    </w:p>
    <w:p>
      <w:pPr>
        <w:rPr>
          <w:color w:val="auto"/>
        </w:rPr>
      </w:pPr>
      <w:r>
        <w:rPr>
          <w:rFonts w:hint="eastAsia" w:ascii="仿宋" w:hAnsi="仿宋" w:eastAsia="仿宋" w:cs="仿宋"/>
          <w:b/>
          <w:bCs w:val="0"/>
          <w:color w:val="auto"/>
          <w:sz w:val="24"/>
          <w:szCs w:val="24"/>
          <w:shd w:val="clear" w:color="auto" w:fill="auto"/>
          <w:lang w:val="en-US" w:eastAsia="zh-CN"/>
        </w:rPr>
        <w:t>附件十九 检测报告</w:t>
      </w:r>
    </w:p>
    <w:p>
      <w:pPr>
        <w:keepNext w:val="0"/>
        <w:keepLines w:val="0"/>
        <w:widowControl/>
        <w:suppressLineNumbers w:val="0"/>
        <w:spacing w:line="360" w:lineRule="auto"/>
        <w:jc w:val="both"/>
        <w:rPr>
          <w:rFonts w:hint="eastAsia" w:ascii="仿宋" w:hAnsi="仿宋" w:eastAsia="仿宋" w:cs="仿宋"/>
          <w:b/>
          <w:bCs w:val="0"/>
          <w:color w:val="C00000"/>
          <w:kern w:val="0"/>
          <w:sz w:val="24"/>
          <w:szCs w:val="24"/>
          <w:lang w:val="en-US" w:eastAsia="zh-CN" w:bidi="ar"/>
        </w:rPr>
      </w:pPr>
    </w:p>
    <w:p>
      <w:pPr>
        <w:pStyle w:val="18"/>
        <w:spacing w:line="360" w:lineRule="auto"/>
        <w:rPr>
          <w:rFonts w:hint="eastAsia" w:ascii="仿宋" w:hAnsi="仿宋" w:eastAsia="仿宋" w:cs="仿宋"/>
          <w:b/>
          <w:bCs w:val="0"/>
          <w:color w:val="C00000"/>
          <w:kern w:val="0"/>
          <w:sz w:val="24"/>
          <w:szCs w:val="24"/>
          <w:lang w:val="en-US" w:eastAsia="zh-CN" w:bidi="ar"/>
        </w:rPr>
      </w:pPr>
    </w:p>
    <w:p>
      <w:pPr>
        <w:pStyle w:val="18"/>
        <w:spacing w:line="360" w:lineRule="auto"/>
        <w:rPr>
          <w:rFonts w:hint="eastAsia" w:ascii="仿宋" w:hAnsi="仿宋" w:eastAsia="仿宋" w:cs="仿宋"/>
          <w:b/>
          <w:bCs w:val="0"/>
          <w:color w:val="C00000"/>
          <w:kern w:val="0"/>
          <w:sz w:val="24"/>
          <w:szCs w:val="24"/>
          <w:lang w:val="en-US" w:eastAsia="zh-CN" w:bidi="ar"/>
        </w:rPr>
      </w:pPr>
    </w:p>
    <w:p>
      <w:pPr>
        <w:pStyle w:val="18"/>
        <w:spacing w:line="360" w:lineRule="auto"/>
        <w:rPr>
          <w:rFonts w:hint="eastAsia" w:ascii="仿宋" w:hAnsi="仿宋" w:eastAsia="仿宋" w:cs="仿宋"/>
          <w:b/>
          <w:bCs w:val="0"/>
          <w:color w:val="C00000"/>
          <w:kern w:val="0"/>
          <w:sz w:val="24"/>
          <w:szCs w:val="24"/>
          <w:lang w:val="en-US" w:eastAsia="zh-CN" w:bidi="ar"/>
        </w:rPr>
      </w:pPr>
    </w:p>
    <w:p>
      <w:pPr>
        <w:pStyle w:val="18"/>
        <w:spacing w:line="360" w:lineRule="auto"/>
        <w:rPr>
          <w:rFonts w:hint="eastAsia" w:ascii="仿宋" w:hAnsi="仿宋" w:eastAsia="仿宋" w:cs="仿宋"/>
          <w:b/>
          <w:bCs w:val="0"/>
          <w:color w:val="C00000"/>
          <w:kern w:val="0"/>
          <w:sz w:val="24"/>
          <w:szCs w:val="24"/>
          <w:lang w:val="en-US" w:eastAsia="zh-CN" w:bidi="ar"/>
        </w:rPr>
      </w:pPr>
    </w:p>
    <w:p>
      <w:pPr>
        <w:pStyle w:val="18"/>
        <w:spacing w:line="360" w:lineRule="auto"/>
      </w:pPr>
    </w:p>
    <w:p>
      <w:pPr>
        <w:pStyle w:val="18"/>
        <w:sectPr>
          <w:pgSz w:w="11906" w:h="16838"/>
          <w:pgMar w:top="1440" w:right="1800" w:bottom="1440" w:left="1800" w:header="851" w:footer="992" w:gutter="0"/>
          <w:pgBorders>
            <w:top w:val="none" w:sz="0" w:space="0"/>
            <w:left w:val="none" w:sz="0" w:space="0"/>
            <w:bottom w:val="none" w:sz="0" w:space="0"/>
            <w:right w:val="none" w:sz="0" w:space="0"/>
          </w:pgBorders>
          <w:cols w:space="0" w:num="1"/>
          <w:rtlGutter w:val="0"/>
          <w:docGrid w:type="lines" w:linePitch="312" w:charSpace="0"/>
        </w:sectPr>
      </w:pPr>
    </w:p>
    <w:p>
      <w:pPr>
        <w:pStyle w:val="3"/>
        <w:jc w:val="center"/>
        <w:rPr>
          <w:rFonts w:hint="eastAsia"/>
          <w:lang w:val="en-US" w:eastAsia="zh-CN"/>
        </w:rPr>
      </w:pPr>
      <w:bookmarkStart w:id="6" w:name="_Toc10631"/>
      <w:bookmarkStart w:id="7" w:name="_Toc20699"/>
      <w:bookmarkStart w:id="8" w:name="_Toc25456"/>
      <w:bookmarkStart w:id="9" w:name="_Toc450651888"/>
      <w:bookmarkStart w:id="10" w:name="_Toc464657292"/>
      <w:bookmarkStart w:id="11" w:name="_Toc483653480"/>
      <w:r>
        <w:rPr>
          <w:rFonts w:hint="eastAsia"/>
          <w:lang w:val="en-US" w:eastAsia="zh-CN"/>
        </w:rPr>
        <w:t>前  言</w:t>
      </w:r>
      <w:bookmarkEnd w:id="6"/>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池州市贵池区姚街铅锌矿年产2万吨铅锌矿石原矿采矿技改整合扩建工程项目，原为池州市贵池区姚街铅锌矿和池州市贵池区姚街第二铅锌矿，同为池州市贵池区姚街村集体企业，现有两矿的年开采能力均为1万吨，2矿均位于池州市贵池区梅街镇姚街村境内，由于开采规模均较小，不符合安徽省《安徽省铜铅锌矿采选行业准入条件》中的行业准入条件。</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根据《安徽省矿产资源开发整合总体方案》、池贵矿整规办字</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2007</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3号《关于请求合并池州市贵池区姚街铅锌矿和池州市贵池区姚街第二铅锌矿采矿许可证的请示》以及池整规矿办</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2007</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9号《关于姚街铅锌矿资源开发整合方案的批复》文件精神，经池州市国土资源局同意，将原池州市贵池区姚街铅锌矿和池州市贵池区姚街第二铅锌矿进行资源整合，整合后的矿山名称更改为池州市贵池区姚街铅锌矿。</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根据《中华人民共和国环境保护法》、《中华人民共和国环境影响评价法》以及《建设项目环境影响评价分类管理名录》的相关内容，建设单位</w:t>
      </w:r>
      <w:r>
        <w:rPr>
          <w:rFonts w:hint="default" w:ascii="Times New Roman" w:hAnsi="Times New Roman" w:eastAsia="宋体" w:cs="Times New Roman"/>
          <w:color w:val="auto"/>
          <w:sz w:val="24"/>
          <w:lang w:eastAsia="zh-CN"/>
        </w:rPr>
        <w:t>池州市姚街新冲铅锌矿有限公司</w:t>
      </w:r>
      <w:r>
        <w:rPr>
          <w:rFonts w:hint="default" w:ascii="Times New Roman" w:hAnsi="Times New Roman" w:eastAsia="宋体" w:cs="Times New Roman"/>
          <w:bCs/>
          <w:color w:val="auto"/>
          <w:sz w:val="24"/>
        </w:rPr>
        <w:t>正式委托</w:t>
      </w:r>
      <w:r>
        <w:rPr>
          <w:rFonts w:hint="default" w:ascii="Times New Roman" w:hAnsi="Times New Roman" w:eastAsia="宋体" w:cs="Times New Roman"/>
          <w:bCs/>
          <w:color w:val="auto"/>
          <w:sz w:val="24"/>
          <w:lang w:eastAsia="zh-CN"/>
        </w:rPr>
        <w:t>广东核力工程勘察</w:t>
      </w:r>
      <w:r>
        <w:rPr>
          <w:rFonts w:hint="default" w:ascii="Times New Roman" w:hAnsi="Times New Roman" w:eastAsia="宋体" w:cs="Times New Roman"/>
          <w:bCs/>
          <w:color w:val="auto"/>
          <w:sz w:val="24"/>
        </w:rPr>
        <w:t>院</w:t>
      </w:r>
      <w:r>
        <w:rPr>
          <w:rFonts w:hint="default" w:ascii="Times New Roman" w:hAnsi="Times New Roman" w:eastAsia="宋体" w:cs="Times New Roman"/>
          <w:color w:val="auto"/>
          <w:sz w:val="24"/>
          <w:szCs w:val="24"/>
        </w:rPr>
        <w:t>对该项目进行环境影响评价</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安徽省环保厅</w:t>
      </w:r>
      <w:r>
        <w:rPr>
          <w:rFonts w:hint="default" w:ascii="Times New Roman" w:hAnsi="Times New Roman" w:eastAsia="宋体" w:cs="Times New Roman"/>
          <w:color w:val="auto"/>
          <w:sz w:val="24"/>
          <w:szCs w:val="24"/>
        </w:rPr>
        <w:t>于20</w:t>
      </w:r>
      <w:r>
        <w:rPr>
          <w:rFonts w:hint="default" w:ascii="Times New Roman" w:hAnsi="Times New Roman" w:eastAsia="宋体" w:cs="Times New Roman"/>
          <w:color w:val="auto"/>
          <w:sz w:val="24"/>
          <w:szCs w:val="24"/>
          <w:lang w:val="en-US" w:eastAsia="zh-CN"/>
        </w:rPr>
        <w:t>11</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月</w:t>
      </w:r>
      <w:r>
        <w:rPr>
          <w:rFonts w:hint="default" w:ascii="Times New Roman" w:hAnsi="Times New Roman" w:eastAsia="宋体" w:cs="Times New Roman"/>
          <w:color w:val="auto"/>
          <w:sz w:val="24"/>
          <w:szCs w:val="24"/>
          <w:lang w:val="en-US" w:eastAsia="zh-CN"/>
        </w:rPr>
        <w:t>23</w:t>
      </w:r>
      <w:r>
        <w:rPr>
          <w:rFonts w:hint="default" w:ascii="Times New Roman" w:hAnsi="Times New Roman" w:eastAsia="宋体" w:cs="Times New Roman"/>
          <w:color w:val="auto"/>
          <w:sz w:val="24"/>
          <w:szCs w:val="24"/>
        </w:rPr>
        <w:t>日</w:t>
      </w:r>
      <w:r>
        <w:rPr>
          <w:rFonts w:hint="default" w:ascii="Times New Roman" w:hAnsi="Times New Roman" w:eastAsia="宋体" w:cs="Times New Roman"/>
          <w:color w:val="auto"/>
          <w:sz w:val="24"/>
          <w:szCs w:val="24"/>
          <w:lang w:val="en-US" w:eastAsia="zh-CN"/>
        </w:rPr>
        <w:t>以</w:t>
      </w:r>
      <w:r>
        <w:rPr>
          <w:rFonts w:hint="eastAsia" w:ascii="宋体" w:hAnsi="宋体" w:eastAsia="宋体" w:cs="宋体"/>
          <w:color w:val="auto"/>
          <w:sz w:val="24"/>
          <w:szCs w:val="24"/>
          <w:lang w:val="en-US" w:eastAsia="zh-CN"/>
        </w:rPr>
        <w:t>“环</w:t>
      </w:r>
      <w:r>
        <w:rPr>
          <w:rFonts w:hint="default" w:ascii="Times New Roman" w:hAnsi="Times New Roman" w:eastAsia="宋体" w:cs="Times New Roman"/>
          <w:color w:val="auto"/>
          <w:sz w:val="24"/>
          <w:szCs w:val="24"/>
          <w:lang w:val="en-US" w:eastAsia="zh-CN"/>
        </w:rPr>
        <w:t>评函[2011]881号</w:t>
      </w:r>
      <w:r>
        <w:rPr>
          <w:rFonts w:hint="eastAsia" w:ascii="宋体" w:hAnsi="宋体" w:eastAsia="宋体" w:cs="宋体"/>
          <w:color w:val="auto"/>
          <w:sz w:val="24"/>
          <w:szCs w:val="24"/>
          <w:lang w:val="en-US" w:eastAsia="zh-CN"/>
        </w:rPr>
        <w:t>”文</w:t>
      </w:r>
      <w:r>
        <w:rPr>
          <w:rFonts w:hint="default" w:ascii="Times New Roman" w:hAnsi="Times New Roman" w:eastAsia="宋体" w:cs="Times New Roman"/>
          <w:color w:val="auto"/>
          <w:sz w:val="24"/>
          <w:szCs w:val="24"/>
        </w:rPr>
        <w:t>对该项目予以批复。</w:t>
      </w:r>
    </w:p>
    <w:p>
      <w:pPr>
        <w:pStyle w:val="18"/>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rPr>
        <w:sectPr>
          <w:headerReference r:id="rId5" w:type="default"/>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0" w:num="1"/>
          <w:rtlGutter w:val="0"/>
          <w:docGrid w:type="lines" w:linePitch="312" w:charSpace="0"/>
        </w:sectPr>
      </w:pPr>
      <w:r>
        <w:rPr>
          <w:rFonts w:hint="default" w:ascii="Times New Roman" w:hAnsi="Times New Roman" w:eastAsia="宋体" w:cs="Times New Roman"/>
          <w:color w:val="auto"/>
        </w:rPr>
        <w:t>根据国家关于开发建设项目执行环保</w:t>
      </w:r>
      <w:r>
        <w:rPr>
          <w:rFonts w:hint="eastAsia" w:ascii="宋体" w:hAnsi="宋体" w:eastAsia="宋体" w:cs="宋体"/>
          <w:color w:val="auto"/>
        </w:rPr>
        <w:t>“</w:t>
      </w:r>
      <w:r>
        <w:rPr>
          <w:rFonts w:hint="default" w:ascii="Times New Roman" w:hAnsi="Times New Roman" w:eastAsia="宋体" w:cs="Times New Roman"/>
          <w:color w:val="auto"/>
        </w:rPr>
        <w:t>三同时</w:t>
      </w:r>
      <w:r>
        <w:rPr>
          <w:rFonts w:hint="eastAsia" w:ascii="宋体" w:hAnsi="宋体" w:eastAsia="宋体" w:cs="宋体"/>
          <w:color w:val="auto"/>
        </w:rPr>
        <w:t>”</w:t>
      </w:r>
      <w:r>
        <w:rPr>
          <w:rFonts w:hint="default" w:ascii="Times New Roman" w:hAnsi="Times New Roman" w:eastAsia="宋体" w:cs="Times New Roman"/>
          <w:color w:val="auto"/>
        </w:rPr>
        <w:t>制度规定，为考核建设项目环保</w:t>
      </w:r>
      <w:r>
        <w:rPr>
          <w:rFonts w:hint="eastAsia" w:ascii="宋体" w:hAnsi="宋体" w:eastAsia="宋体" w:cs="宋体"/>
          <w:color w:val="auto"/>
        </w:rPr>
        <w:t>“三同时”执</w:t>
      </w:r>
      <w:r>
        <w:rPr>
          <w:rFonts w:hint="default" w:ascii="Times New Roman" w:hAnsi="Times New Roman" w:eastAsia="宋体" w:cs="Times New Roman"/>
          <w:color w:val="auto"/>
        </w:rPr>
        <w:t>行情况及各项污染治理设施实际运行情况和效果</w:t>
      </w:r>
      <w:r>
        <w:rPr>
          <w:rFonts w:hint="default" w:ascii="Times New Roman" w:hAnsi="Times New Roman" w:eastAsia="宋体" w:cs="Times New Roman"/>
          <w:color w:val="auto"/>
          <w:lang w:eastAsia="zh-CN"/>
        </w:rPr>
        <w:t>，依</w:t>
      </w:r>
      <w:r>
        <w:rPr>
          <w:rFonts w:hint="default" w:ascii="Times New Roman" w:hAnsi="Times New Roman" w:eastAsia="宋体" w:cs="Times New Roman"/>
          <w:color w:val="auto"/>
          <w:kern w:val="2"/>
          <w:sz w:val="24"/>
          <w:szCs w:val="24"/>
          <w:lang w:val="en-US" w:eastAsia="zh-CN" w:bidi="ar-SA"/>
        </w:rPr>
        <w:t>据关于发布《建设项目竣工环境保护验收暂行办法》的公告国环规环评[2017]4号、</w:t>
      </w:r>
      <w:r>
        <w:rPr>
          <w:rFonts w:hint="default" w:ascii="Times New Roman" w:hAnsi="Times New Roman" w:eastAsia="宋体" w:cs="Times New Roman"/>
          <w:color w:val="auto"/>
        </w:rPr>
        <w:t>国务院令第682号《国务院关于修改〈建设项目环境保护管理条例〉的决定》</w:t>
      </w:r>
      <w:r>
        <w:rPr>
          <w:rFonts w:hint="default" w:ascii="Times New Roman" w:hAnsi="Times New Roman" w:eastAsia="宋体" w:cs="Times New Roman"/>
          <w:color w:val="auto"/>
          <w:sz w:val="24"/>
          <w:szCs w:val="24"/>
        </w:rPr>
        <w:t>，201</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月，受</w:t>
      </w:r>
      <w:r>
        <w:rPr>
          <w:rFonts w:hint="default" w:ascii="Times New Roman" w:hAnsi="Times New Roman" w:eastAsia="宋体" w:cs="Times New Roman"/>
          <w:color w:val="auto"/>
          <w:sz w:val="24"/>
          <w:lang w:eastAsia="zh-CN"/>
        </w:rPr>
        <w:t>池州市姚街新冲铅锌矿有限公司</w:t>
      </w:r>
      <w:r>
        <w:rPr>
          <w:rFonts w:hint="default" w:ascii="Times New Roman" w:hAnsi="Times New Roman" w:eastAsia="宋体" w:cs="Times New Roman"/>
          <w:color w:val="auto"/>
          <w:sz w:val="24"/>
          <w:szCs w:val="24"/>
        </w:rPr>
        <w:t>的委托</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我公司组织技术人员与</w:t>
      </w:r>
      <w:r>
        <w:rPr>
          <w:rFonts w:hint="eastAsia"/>
          <w:lang w:eastAsia="zh-CN"/>
        </w:rPr>
        <w:t>池州市姚街新冲铅锌矿有限公司</w:t>
      </w:r>
      <w:r>
        <w:rPr>
          <w:rFonts w:hint="default" w:ascii="Times New Roman" w:hAnsi="Times New Roman" w:eastAsia="宋体" w:cs="Times New Roman"/>
          <w:color w:val="auto"/>
          <w:sz w:val="24"/>
          <w:szCs w:val="24"/>
        </w:rPr>
        <w:t>一起对该工程进行现场勘</w:t>
      </w:r>
      <w:r>
        <w:rPr>
          <w:rFonts w:hint="default" w:ascii="Times New Roman" w:hAnsi="Times New Roman" w:eastAsia="宋体" w:cs="Times New Roman"/>
          <w:color w:val="auto"/>
          <w:sz w:val="24"/>
          <w:szCs w:val="24"/>
          <w:lang w:eastAsia="zh-CN"/>
        </w:rPr>
        <w:t>察</w:t>
      </w:r>
      <w:r>
        <w:rPr>
          <w:rFonts w:hint="default" w:ascii="Times New Roman" w:hAnsi="Times New Roman" w:eastAsia="宋体" w:cs="Times New Roman"/>
          <w:color w:val="auto"/>
          <w:sz w:val="24"/>
          <w:szCs w:val="24"/>
        </w:rPr>
        <w:t>，初步了解</w:t>
      </w:r>
      <w:r>
        <w:rPr>
          <w:rFonts w:hint="default" w:ascii="Times New Roman" w:hAnsi="Times New Roman" w:eastAsia="宋体" w:cs="Times New Roman"/>
          <w:color w:val="auto"/>
          <w:sz w:val="24"/>
          <w:lang w:eastAsia="zh-CN"/>
        </w:rPr>
        <w:t>池州市姚街新冲铅锌矿有限公司</w:t>
      </w:r>
      <w:r>
        <w:rPr>
          <w:rFonts w:hint="default" w:ascii="Times New Roman" w:hAnsi="Times New Roman" w:eastAsia="宋体" w:cs="Times New Roman"/>
          <w:b w:val="0"/>
          <w:bCs/>
          <w:color w:val="auto"/>
          <w:sz w:val="24"/>
          <w:szCs w:val="24"/>
        </w:rPr>
        <w:t>年产2万吨铅锌矿石原矿采矿技改整合扩建工程</w:t>
      </w:r>
      <w:r>
        <w:rPr>
          <w:rFonts w:hint="default" w:ascii="Times New Roman" w:hAnsi="Times New Roman" w:eastAsia="宋体" w:cs="Times New Roman"/>
          <w:bCs/>
          <w:color w:val="auto"/>
          <w:sz w:val="24"/>
        </w:rPr>
        <w:t>项目</w:t>
      </w:r>
      <w:r>
        <w:rPr>
          <w:rFonts w:hint="default" w:ascii="Times New Roman" w:hAnsi="Times New Roman" w:eastAsia="宋体" w:cs="Times New Roman"/>
          <w:color w:val="auto"/>
          <w:sz w:val="24"/>
          <w:szCs w:val="24"/>
        </w:rPr>
        <w:t>环境保护设施的落实及运行情况，</w:t>
      </w:r>
      <w:r>
        <w:rPr>
          <w:rFonts w:hint="default" w:ascii="Times New Roman" w:hAnsi="Times New Roman" w:eastAsia="宋体" w:cs="Times New Roman"/>
          <w:color w:val="auto"/>
          <w:lang w:eastAsia="zh-CN"/>
        </w:rPr>
        <w:t>并</w:t>
      </w:r>
      <w:r>
        <w:rPr>
          <w:rFonts w:hint="default" w:ascii="Times New Roman" w:hAnsi="Times New Roman" w:eastAsia="宋体" w:cs="Times New Roman"/>
          <w:color w:val="auto"/>
        </w:rPr>
        <w:t>于201</w:t>
      </w:r>
      <w:r>
        <w:rPr>
          <w:rFonts w:hint="default" w:ascii="Times New Roman" w:hAnsi="Times New Roman" w:eastAsia="宋体" w:cs="Times New Roman"/>
          <w:color w:val="auto"/>
          <w:lang w:val="en-US" w:eastAsia="zh-CN"/>
        </w:rPr>
        <w:t>7</w:t>
      </w:r>
      <w:r>
        <w:rPr>
          <w:rFonts w:hint="default" w:ascii="Times New Roman" w:hAnsi="Times New Roman" w:eastAsia="宋体" w:cs="Times New Roman"/>
          <w:color w:val="auto"/>
        </w:rPr>
        <w:t>年</w:t>
      </w:r>
      <w:r>
        <w:rPr>
          <w:rFonts w:hint="default" w:ascii="Times New Roman" w:hAnsi="Times New Roman" w:eastAsia="宋体" w:cs="Times New Roman"/>
          <w:color w:val="auto"/>
          <w:lang w:val="en-US" w:eastAsia="zh-CN"/>
        </w:rPr>
        <w:t>10</w:t>
      </w:r>
      <w:r>
        <w:rPr>
          <w:rFonts w:hint="default" w:ascii="Times New Roman" w:hAnsi="Times New Roman" w:eastAsia="宋体" w:cs="Times New Roman"/>
          <w:color w:val="auto"/>
        </w:rPr>
        <w:t>月</w:t>
      </w:r>
      <w:r>
        <w:rPr>
          <w:rFonts w:hint="default" w:ascii="Times New Roman" w:hAnsi="Times New Roman" w:eastAsia="宋体" w:cs="Times New Roman"/>
          <w:color w:val="auto"/>
          <w:lang w:val="en-US" w:eastAsia="zh-CN"/>
        </w:rPr>
        <w:t>8</w:t>
      </w:r>
      <w:r>
        <w:rPr>
          <w:rFonts w:hint="eastAsia" w:ascii="Times New Roman" w:hAnsi="Times New Roman" w:cs="Times New Roman"/>
          <w:color w:val="auto"/>
          <w:lang w:val="en-US" w:eastAsia="zh-CN"/>
        </w:rPr>
        <w:t>、</w:t>
      </w:r>
      <w:r>
        <w:rPr>
          <w:rFonts w:hint="default" w:ascii="Times New Roman" w:hAnsi="Times New Roman" w:eastAsia="宋体" w:cs="Times New Roman"/>
          <w:color w:val="auto"/>
          <w:lang w:val="en-US" w:eastAsia="zh-CN"/>
        </w:rPr>
        <w:t>9</w:t>
      </w:r>
      <w:r>
        <w:rPr>
          <w:rFonts w:hint="default" w:ascii="Times New Roman" w:hAnsi="Times New Roman" w:eastAsia="宋体" w:cs="Times New Roman"/>
          <w:color w:val="auto"/>
        </w:rPr>
        <w:t>日对该项目进行了现场</w:t>
      </w:r>
      <w:r>
        <w:rPr>
          <w:rFonts w:hint="default" w:ascii="Times New Roman" w:hAnsi="Times New Roman" w:eastAsia="宋体" w:cs="Times New Roman"/>
          <w:color w:val="auto"/>
          <w:lang w:eastAsia="zh-CN"/>
        </w:rPr>
        <w:t>调查采样，样品采集保存运回，</w:t>
      </w:r>
      <w:r>
        <w:rPr>
          <w:rFonts w:hint="default" w:ascii="Times New Roman" w:hAnsi="Times New Roman" w:eastAsia="宋体" w:cs="Times New Roman"/>
          <w:color w:val="auto"/>
          <w:lang w:val="en-US" w:eastAsia="zh-CN"/>
        </w:rPr>
        <w:t>10月10日~15日</w:t>
      </w:r>
      <w:r>
        <w:rPr>
          <w:rFonts w:hint="default" w:ascii="Times New Roman" w:hAnsi="Times New Roman" w:eastAsia="宋体" w:cs="Times New Roman"/>
          <w:color w:val="auto"/>
          <w:lang w:eastAsia="zh-CN"/>
        </w:rPr>
        <w:t>实验室分析、整理数据，</w:t>
      </w:r>
      <w:r>
        <w:rPr>
          <w:rFonts w:hint="default" w:ascii="Times New Roman" w:hAnsi="Times New Roman" w:eastAsia="宋体" w:cs="Times New Roman"/>
          <w:color w:val="auto"/>
          <w:lang w:val="en-US" w:eastAsia="zh-CN"/>
        </w:rPr>
        <w:t>10月15日~10月17日检测报告编辑部门对数据进行审核、编辑，10月18日~10月22日验收报告部门</w:t>
      </w:r>
      <w:r>
        <w:rPr>
          <w:rFonts w:hint="eastAsia" w:ascii="Times New Roman" w:hAnsi="Times New Roman" w:cs="Times New Roman"/>
          <w:color w:val="auto"/>
          <w:lang w:eastAsia="zh-CN"/>
        </w:rPr>
        <w:t>结合资料查阅、现场踏勘、现场监测及</w:t>
      </w:r>
      <w:r>
        <w:rPr>
          <w:rFonts w:hint="default" w:ascii="Times New Roman" w:hAnsi="Times New Roman" w:eastAsia="宋体" w:cs="Times New Roman"/>
          <w:color w:val="auto"/>
        </w:rPr>
        <w:t>监测数据</w:t>
      </w:r>
      <w:r>
        <w:rPr>
          <w:rFonts w:hint="eastAsia" w:ascii="Times New Roman" w:hAnsi="Times New Roman" w:cs="Times New Roman"/>
          <w:color w:val="auto"/>
          <w:lang w:eastAsia="zh-CN"/>
        </w:rPr>
        <w:t>等</w:t>
      </w:r>
      <w:r>
        <w:rPr>
          <w:rFonts w:hint="default" w:ascii="Times New Roman" w:hAnsi="Times New Roman" w:eastAsia="宋体" w:cs="Times New Roman"/>
          <w:color w:val="auto"/>
        </w:rPr>
        <w:t>，编制了本项目验收</w:t>
      </w:r>
      <w:r>
        <w:rPr>
          <w:rFonts w:hint="default" w:ascii="Times New Roman" w:hAnsi="Times New Roman" w:eastAsia="宋体" w:cs="Times New Roman"/>
          <w:color w:val="auto"/>
          <w:lang w:eastAsia="zh-CN"/>
        </w:rPr>
        <w:t>调查</w:t>
      </w:r>
      <w:r>
        <w:rPr>
          <w:rFonts w:hint="default" w:ascii="Times New Roman" w:hAnsi="Times New Roman" w:eastAsia="宋体" w:cs="Times New Roman"/>
          <w:color w:val="auto"/>
        </w:rPr>
        <w:t>报告。</w:t>
      </w:r>
    </w:p>
    <w:p>
      <w:pPr>
        <w:pStyle w:val="18"/>
        <w:spacing w:line="360" w:lineRule="auto"/>
        <w:ind w:firstLine="480" w:firstLineChars="200"/>
        <w:rPr>
          <w:rFonts w:hint="default" w:ascii="Times New Roman" w:hAnsi="Times New Roman" w:eastAsia="宋体" w:cs="Times New Roman"/>
          <w:color w:val="auto"/>
        </w:rPr>
      </w:pPr>
    </w:p>
    <w:p>
      <w:pPr>
        <w:pStyle w:val="18"/>
        <w:spacing w:line="360" w:lineRule="auto"/>
        <w:ind w:firstLine="480" w:firstLineChars="200"/>
        <w:rPr>
          <w:rFonts w:hint="eastAsia" w:ascii="Times New Roman" w:hAnsi="Times New Roman" w:eastAsia="宋体" w:cs="Times New Roman"/>
          <w:color w:val="auto"/>
          <w:lang w:val="en-US" w:eastAsia="zh-CN"/>
        </w:rPr>
        <w:sectPr>
          <w:head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jc w:val="center"/>
      </w:pPr>
      <w:bookmarkStart w:id="12" w:name="_Toc29258"/>
      <w:r>
        <w:rPr>
          <w:rFonts w:hint="eastAsia"/>
        </w:rPr>
        <w:t xml:space="preserve">1 </w:t>
      </w:r>
      <w:bookmarkEnd w:id="7"/>
      <w:bookmarkEnd w:id="8"/>
      <w:bookmarkEnd w:id="9"/>
      <w:bookmarkEnd w:id="10"/>
      <w:r>
        <w:rPr>
          <w:rFonts w:hint="eastAsia"/>
        </w:rPr>
        <w:t>总论</w:t>
      </w:r>
      <w:bookmarkEnd w:id="11"/>
      <w:bookmarkEnd w:id="12"/>
    </w:p>
    <w:p>
      <w:pPr>
        <w:pStyle w:val="4"/>
        <w:rPr>
          <w:rFonts w:hint="default"/>
        </w:rPr>
      </w:pPr>
      <w:bookmarkStart w:id="13" w:name="_Toc28198"/>
      <w:bookmarkStart w:id="14" w:name="_Toc450651889"/>
      <w:bookmarkStart w:id="15" w:name="_Toc30751"/>
      <w:bookmarkStart w:id="16" w:name="_Toc464657293"/>
      <w:bookmarkStart w:id="17" w:name="_Toc483653481"/>
      <w:bookmarkStart w:id="18" w:name="_Toc31264"/>
      <w:r>
        <w:rPr>
          <w:rFonts w:hint="default"/>
        </w:rPr>
        <w:t>1.1</w:t>
      </w:r>
      <w:r>
        <w:rPr>
          <w:rFonts w:hint="eastAsia"/>
          <w:lang w:val="en-US" w:eastAsia="zh-CN"/>
        </w:rPr>
        <w:t xml:space="preserve"> </w:t>
      </w:r>
      <w:r>
        <w:rPr>
          <w:rFonts w:hint="default"/>
        </w:rPr>
        <w:t>编制依据</w:t>
      </w:r>
      <w:bookmarkEnd w:id="13"/>
      <w:bookmarkEnd w:id="14"/>
      <w:bookmarkEnd w:id="15"/>
      <w:bookmarkEnd w:id="16"/>
      <w:bookmarkEnd w:id="17"/>
      <w:bookmarkEnd w:id="18"/>
    </w:p>
    <w:p>
      <w:pPr>
        <w:pStyle w:val="8"/>
        <w:spacing w:line="360" w:lineRule="auto"/>
        <w:ind w:firstLine="0" w:firstLineChars="0"/>
        <w:textAlignment w:val="center"/>
        <w:outlineLvl w:val="2"/>
        <w:rPr>
          <w:rFonts w:hint="default" w:ascii="Times New Roman" w:hAnsi="Times New Roman" w:cs="Times New Roman"/>
          <w:b/>
          <w:snapToGrid w:val="0"/>
          <w:sz w:val="24"/>
        </w:rPr>
      </w:pPr>
      <w:bookmarkStart w:id="19" w:name="_Toc10792"/>
      <w:bookmarkStart w:id="20" w:name="_Toc13868"/>
      <w:r>
        <w:rPr>
          <w:rFonts w:hint="default" w:ascii="Times New Roman" w:hAnsi="Times New Roman" w:cs="Times New Roman"/>
          <w:b/>
          <w:snapToGrid w:val="0"/>
          <w:sz w:val="24"/>
        </w:rPr>
        <w:t>1.1.1相关法规条例及导则</w:t>
      </w:r>
      <w:bookmarkEnd w:id="19"/>
      <w:bookmarkEnd w:id="20"/>
    </w:p>
    <w:p>
      <w:pPr>
        <w:spacing w:line="360" w:lineRule="auto"/>
        <w:ind w:firstLine="480"/>
        <w:jc w:val="left"/>
        <w:rPr>
          <w:rFonts w:hint="default" w:ascii="Times New Roman" w:hAnsi="Times New Roman" w:cs="Times New Roman"/>
        </w:rPr>
      </w:pPr>
      <w:r>
        <w:rPr>
          <w:rFonts w:hint="default" w:ascii="Times New Roman" w:hAnsi="Times New Roman" w:cs="Times New Roman"/>
        </w:rPr>
        <w:t>（1）《中华人民共和国环境保护法》（2015年1月1日起实施）；</w:t>
      </w:r>
    </w:p>
    <w:p>
      <w:pPr>
        <w:spacing w:line="360" w:lineRule="auto"/>
        <w:ind w:firstLine="480"/>
        <w:jc w:val="left"/>
        <w:rPr>
          <w:rFonts w:hint="default" w:ascii="Times New Roman" w:hAnsi="Times New Roman" w:cs="Times New Roman"/>
        </w:rPr>
      </w:pPr>
      <w:r>
        <w:rPr>
          <w:rFonts w:hint="default" w:ascii="Times New Roman" w:hAnsi="Times New Roman" w:cs="Times New Roman"/>
        </w:rPr>
        <w:t>（2）《中华人民共和国环境噪声污染防治法》（1997年3月1日）；</w:t>
      </w:r>
    </w:p>
    <w:p>
      <w:pPr>
        <w:spacing w:line="360" w:lineRule="auto"/>
        <w:ind w:firstLine="480"/>
        <w:jc w:val="left"/>
        <w:rPr>
          <w:rFonts w:hint="default" w:ascii="Times New Roman" w:hAnsi="Times New Roman" w:cs="Times New Roman"/>
        </w:rPr>
      </w:pPr>
      <w:r>
        <w:rPr>
          <w:rFonts w:hint="default" w:ascii="Times New Roman" w:hAnsi="Times New Roman" w:cs="Times New Roman"/>
        </w:rPr>
        <w:t>（3）《中华人民共和国大气污染防治法》（2016年1月1日起实施）；</w:t>
      </w:r>
    </w:p>
    <w:p>
      <w:pPr>
        <w:spacing w:line="360" w:lineRule="auto"/>
        <w:ind w:firstLine="480"/>
        <w:jc w:val="left"/>
        <w:rPr>
          <w:rFonts w:hint="default" w:ascii="Times New Roman" w:hAnsi="Times New Roman" w:cs="Times New Roman"/>
        </w:rPr>
      </w:pPr>
      <w:r>
        <w:rPr>
          <w:rFonts w:hint="default" w:ascii="Times New Roman" w:hAnsi="Times New Roman" w:cs="Times New Roman"/>
        </w:rPr>
        <w:t>（4）《中华人民共和国清洁生产促进法》（2012年2月修正）；</w:t>
      </w:r>
    </w:p>
    <w:p>
      <w:pPr>
        <w:spacing w:line="360" w:lineRule="auto"/>
        <w:ind w:firstLine="480"/>
        <w:jc w:val="left"/>
        <w:rPr>
          <w:rFonts w:hint="default" w:ascii="Times New Roman" w:hAnsi="Times New Roman" w:cs="Times New Roman"/>
        </w:rPr>
      </w:pPr>
      <w:r>
        <w:rPr>
          <w:rFonts w:hint="default" w:ascii="Times New Roman" w:hAnsi="Times New Roman" w:cs="Times New Roman"/>
        </w:rPr>
        <w:t>（5）《中华人民共和国环境影响评价法》（2016年9月1日）；</w:t>
      </w:r>
    </w:p>
    <w:p>
      <w:pPr>
        <w:spacing w:line="360" w:lineRule="auto"/>
        <w:ind w:firstLine="480"/>
        <w:jc w:val="left"/>
        <w:rPr>
          <w:rFonts w:hint="default" w:ascii="Times New Roman" w:hAnsi="Times New Roman" w:cs="Times New Roman"/>
        </w:rPr>
      </w:pPr>
      <w:r>
        <w:rPr>
          <w:rFonts w:hint="default" w:ascii="Times New Roman" w:hAnsi="Times New Roman" w:cs="Times New Roman"/>
        </w:rPr>
        <w:t>（6）《中华人民共和国固体废物污染环境防治法》（2016年11月7日修订）；</w:t>
      </w:r>
    </w:p>
    <w:p>
      <w:pPr>
        <w:spacing w:line="360" w:lineRule="auto"/>
        <w:ind w:firstLine="480"/>
        <w:jc w:val="left"/>
        <w:rPr>
          <w:rFonts w:hint="default" w:ascii="Times New Roman" w:hAnsi="Times New Roman" w:cs="Times New Roman"/>
        </w:rPr>
      </w:pPr>
      <w:r>
        <w:rPr>
          <w:rFonts w:hint="default" w:ascii="Times New Roman" w:hAnsi="Times New Roman" w:cs="Times New Roman"/>
        </w:rPr>
        <w:t>（7）《中华人民共和国水污染防治法》（2008年6月1日修订实施）；</w:t>
      </w:r>
    </w:p>
    <w:p>
      <w:pPr>
        <w:spacing w:line="360" w:lineRule="auto"/>
        <w:ind w:firstLine="480"/>
        <w:jc w:val="left"/>
        <w:rPr>
          <w:rFonts w:hint="default" w:ascii="Times New Roman" w:hAnsi="Times New Roman" w:cs="Times New Roman"/>
        </w:rPr>
      </w:pPr>
      <w:r>
        <w:rPr>
          <w:rFonts w:hint="default" w:ascii="Times New Roman" w:hAnsi="Times New Roman" w:cs="Times New Roman"/>
        </w:rPr>
        <w:t>（8）《中华人民共和国水土保持法》（2011年3月1日修订实施）；</w:t>
      </w:r>
    </w:p>
    <w:p>
      <w:pPr>
        <w:spacing w:line="360" w:lineRule="auto"/>
        <w:ind w:firstLine="480"/>
        <w:jc w:val="left"/>
        <w:rPr>
          <w:rFonts w:hint="default" w:ascii="Times New Roman" w:hAnsi="Times New Roman" w:cs="Times New Roman"/>
        </w:rPr>
      </w:pPr>
      <w:r>
        <w:rPr>
          <w:rFonts w:hint="default" w:ascii="Times New Roman" w:hAnsi="Times New Roman" w:cs="Times New Roman"/>
        </w:rPr>
        <w:t>（9）《中华人民共和国土地管理法》（2004年8月28日）；</w:t>
      </w:r>
    </w:p>
    <w:p>
      <w:pPr>
        <w:spacing w:line="360" w:lineRule="auto"/>
        <w:ind w:firstLine="480"/>
        <w:jc w:val="left"/>
        <w:rPr>
          <w:rFonts w:hint="default" w:ascii="Times New Roman" w:hAnsi="Times New Roman" w:cs="Times New Roman"/>
        </w:rPr>
      </w:pPr>
      <w:r>
        <w:rPr>
          <w:rFonts w:hint="default" w:ascii="Times New Roman" w:hAnsi="Times New Roman" w:cs="Times New Roman"/>
        </w:rPr>
        <w:t>（10）</w:t>
      </w:r>
      <w:r>
        <w:rPr>
          <w:rFonts w:hint="default" w:ascii="Times New Roman" w:hAnsi="Times New Roman" w:eastAsia="宋体" w:cs="Times New Roman"/>
          <w:color w:val="auto"/>
          <w:kern w:val="2"/>
          <w:sz w:val="24"/>
          <w:szCs w:val="24"/>
          <w:lang w:val="en-US" w:eastAsia="zh-CN" w:bidi="ar-SA"/>
        </w:rPr>
        <w:t>关于发布《建设项目竣工环境保护验收暂行办法》的公告国环规环评[2017]4号</w:t>
      </w:r>
      <w:r>
        <w:rPr>
          <w:rFonts w:hint="eastAsia" w:cs="Times New Roman"/>
          <w:color w:val="auto"/>
          <w:kern w:val="2"/>
          <w:sz w:val="24"/>
          <w:szCs w:val="24"/>
          <w:lang w:val="en-US" w:eastAsia="zh-CN" w:bidi="ar-SA"/>
        </w:rPr>
        <w:t>；</w:t>
      </w:r>
    </w:p>
    <w:p>
      <w:pPr>
        <w:spacing w:line="360" w:lineRule="auto"/>
        <w:ind w:firstLine="480"/>
        <w:jc w:val="left"/>
        <w:rPr>
          <w:rFonts w:hint="default" w:ascii="Times New Roman" w:hAnsi="Times New Roman" w:cs="Times New Roman"/>
        </w:rPr>
      </w:pPr>
      <w:r>
        <w:rPr>
          <w:rFonts w:hint="default" w:ascii="Times New Roman" w:hAnsi="Times New Roman" w:cs="Times New Roman"/>
        </w:rPr>
        <w:t>（11）《关于加强环境保护重点工作的意见》，国务院[2011]35号，2011年10月17日；</w:t>
      </w:r>
    </w:p>
    <w:p>
      <w:pPr>
        <w:spacing w:line="360" w:lineRule="auto"/>
        <w:ind w:firstLine="480"/>
        <w:jc w:val="left"/>
        <w:rPr>
          <w:rFonts w:hint="default" w:ascii="Times New Roman" w:hAnsi="Times New Roman" w:cs="Times New Roman"/>
        </w:rPr>
      </w:pPr>
      <w:r>
        <w:rPr>
          <w:rFonts w:hint="default" w:ascii="Times New Roman" w:hAnsi="Times New Roman" w:cs="Times New Roman"/>
        </w:rPr>
        <w:t>（12）</w:t>
      </w:r>
      <w:r>
        <w:rPr>
          <w:rFonts w:hint="eastAsia"/>
          <w:color w:val="auto"/>
        </w:rPr>
        <w:t>国务院令第682号《国务院关于修改〈建设项目环境保护管理条例〉的决定》</w:t>
      </w:r>
      <w:r>
        <w:rPr>
          <w:rFonts w:hint="default" w:ascii="Times New Roman" w:hAnsi="Times New Roman" w:cs="Times New Roman"/>
        </w:rPr>
        <w:t>，20</w:t>
      </w:r>
      <w:r>
        <w:rPr>
          <w:rFonts w:hint="eastAsia" w:ascii="Times New Roman" w:hAnsi="Times New Roman" w:cs="Times New Roman"/>
          <w:lang w:val="en-US" w:eastAsia="zh-CN"/>
        </w:rPr>
        <w:t>17</w:t>
      </w:r>
      <w:r>
        <w:rPr>
          <w:rFonts w:hint="default" w:ascii="Times New Roman" w:hAnsi="Times New Roman" w:cs="Times New Roman"/>
        </w:rPr>
        <w:t>年；</w:t>
      </w:r>
    </w:p>
    <w:p>
      <w:pPr>
        <w:spacing w:line="360" w:lineRule="auto"/>
        <w:ind w:firstLine="480"/>
        <w:jc w:val="left"/>
        <w:rPr>
          <w:rFonts w:hint="default" w:ascii="Times New Roman" w:hAnsi="Times New Roman" w:cs="Times New Roman"/>
        </w:rPr>
      </w:pPr>
      <w:r>
        <w:rPr>
          <w:rFonts w:hint="default" w:ascii="Times New Roman" w:hAnsi="Times New Roman" w:cs="Times New Roman"/>
        </w:rPr>
        <w:t>（13）《建设项目竣工环境保护验收技术规范生态影响类》（HJ/T394-2007，原国家环境保护总局）；</w:t>
      </w:r>
    </w:p>
    <w:p>
      <w:pPr>
        <w:spacing w:line="360" w:lineRule="auto"/>
        <w:ind w:firstLine="480"/>
        <w:jc w:val="left"/>
        <w:rPr>
          <w:rFonts w:hint="default" w:ascii="Times New Roman" w:hAnsi="Times New Roman" w:cs="Times New Roman"/>
        </w:rPr>
      </w:pPr>
      <w:r>
        <w:rPr>
          <w:rFonts w:hint="default" w:ascii="Times New Roman" w:hAnsi="Times New Roman" w:cs="Times New Roman"/>
        </w:rPr>
        <w:t>（14）《关于切实加强环境影响评价监督管理工作的通知》，环境保护部办公厅环办[2013]104号；</w:t>
      </w:r>
    </w:p>
    <w:p>
      <w:pPr>
        <w:spacing w:line="360" w:lineRule="auto"/>
        <w:ind w:firstLine="480"/>
        <w:jc w:val="left"/>
        <w:rPr>
          <w:rFonts w:hint="default" w:ascii="Times New Roman" w:hAnsi="Times New Roman" w:cs="Times New Roman"/>
        </w:rPr>
      </w:pPr>
      <w:r>
        <w:rPr>
          <w:rFonts w:hint="default" w:ascii="Times New Roman" w:hAnsi="Times New Roman" w:cs="Times New Roman"/>
        </w:rPr>
        <w:t>（15）《安徽省环保厅关于加强建设项目环境影响评价及环保竣工验收公众参与工作的通知》，2013年10月18日；</w:t>
      </w:r>
    </w:p>
    <w:p>
      <w:pPr>
        <w:spacing w:line="360" w:lineRule="auto"/>
        <w:ind w:firstLine="480"/>
        <w:jc w:val="left"/>
        <w:rPr>
          <w:rFonts w:hint="default" w:ascii="Times New Roman" w:hAnsi="Times New Roman" w:cs="Times New Roman"/>
        </w:rPr>
      </w:pPr>
      <w:r>
        <w:rPr>
          <w:rFonts w:hint="default" w:ascii="Times New Roman" w:hAnsi="Times New Roman" w:cs="Times New Roman"/>
        </w:rPr>
        <w:t>（15）《安徽省环境保护条例》，安徽省人大常委会，2010年11月1日；</w:t>
      </w:r>
    </w:p>
    <w:p>
      <w:pPr>
        <w:spacing w:line="360" w:lineRule="auto"/>
        <w:ind w:firstLine="480"/>
        <w:jc w:val="left"/>
        <w:rPr>
          <w:rFonts w:hint="default" w:ascii="Times New Roman" w:hAnsi="Times New Roman" w:cs="Times New Roman"/>
        </w:rPr>
      </w:pPr>
      <w:r>
        <w:rPr>
          <w:rFonts w:hint="default" w:ascii="Times New Roman" w:hAnsi="Times New Roman" w:cs="Times New Roman"/>
        </w:rPr>
        <w:t>（16）《安徽省人民政府关于印发安徽省大气污染防治行动计划实施方案的通知》，安徽省人民政府皖政[2013]89号，2013年12月30日；</w:t>
      </w:r>
    </w:p>
    <w:p>
      <w:pPr>
        <w:pStyle w:val="18"/>
        <w:spacing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cs="Times New Roman"/>
          <w:lang w:val="en-US" w:eastAsia="zh-CN"/>
        </w:rPr>
        <w:t>（17）</w:t>
      </w:r>
      <w:r>
        <w:rPr>
          <w:rFonts w:hint="default" w:ascii="Times New Roman" w:hAnsi="Times New Roman" w:cs="Times New Roman"/>
          <w:color w:val="auto"/>
        </w:rPr>
        <w:t>中国环境监测总站验字[2005]188号《关于加强建设项目竣工环境保护验收工作中污染事故防范环境管理检查工作的通知》（2005年12月）</w:t>
      </w:r>
      <w:r>
        <w:rPr>
          <w:rFonts w:hint="default" w:ascii="Times New Roman" w:hAnsi="Times New Roman" w:cs="Times New Roman"/>
          <w:color w:val="auto"/>
          <w:lang w:eastAsia="zh-CN"/>
        </w:rPr>
        <w:t>。</w:t>
      </w:r>
    </w:p>
    <w:p>
      <w:pPr>
        <w:pStyle w:val="8"/>
        <w:spacing w:line="360" w:lineRule="auto"/>
        <w:ind w:firstLine="0" w:firstLineChars="0"/>
        <w:textAlignment w:val="center"/>
        <w:outlineLvl w:val="2"/>
        <w:rPr>
          <w:rFonts w:hint="default" w:ascii="Times New Roman" w:hAnsi="Times New Roman" w:cs="Times New Roman"/>
          <w:b/>
          <w:snapToGrid w:val="0"/>
          <w:sz w:val="24"/>
        </w:rPr>
      </w:pPr>
      <w:bookmarkStart w:id="21" w:name="_Toc19643"/>
      <w:bookmarkStart w:id="22" w:name="_Toc3174"/>
      <w:r>
        <w:rPr>
          <w:rFonts w:hint="default" w:ascii="Times New Roman" w:hAnsi="Times New Roman" w:cs="Times New Roman"/>
          <w:b/>
          <w:snapToGrid w:val="0"/>
          <w:sz w:val="24"/>
        </w:rPr>
        <w:t>1.1.2工程资料</w:t>
      </w:r>
      <w:bookmarkEnd w:id="21"/>
      <w:bookmarkEnd w:id="2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FF0000"/>
          <w:sz w:val="24"/>
          <w:szCs w:val="24"/>
        </w:rPr>
      </w:pPr>
      <w:r>
        <w:rPr>
          <w:rFonts w:hint="eastAsia"/>
          <w:color w:val="auto"/>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eastAsia" w:cs="Times New Roman"/>
          <w:color w:val="auto"/>
          <w:sz w:val="24"/>
          <w:szCs w:val="24"/>
          <w:lang w:val="en-US" w:eastAsia="zh-CN"/>
        </w:rPr>
        <w:t xml:space="preserve"> </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b w:val="0"/>
          <w:bCs/>
          <w:color w:val="auto"/>
          <w:sz w:val="24"/>
          <w:szCs w:val="24"/>
        </w:rPr>
        <w:t>池州市贵池区姚街铅锌矿年产2万吨铅锌矿石原矿采矿技改整合扩建工程项目环境影响报告书</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lang w:val="en-US" w:eastAsia="zh-CN"/>
        </w:rPr>
        <w:t>2011年</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eastAsia="zh-CN"/>
        </w:rPr>
      </w:pPr>
      <w:bookmarkStart w:id="23" w:name="_Toc446489345"/>
      <w:bookmarkStart w:id="24" w:name="_Toc446401864"/>
      <w:bookmarkStart w:id="25" w:name="_Toc12587"/>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bookmarkEnd w:id="23"/>
      <w:bookmarkEnd w:id="24"/>
      <w:bookmarkEnd w:id="25"/>
      <w:bookmarkStart w:id="26" w:name="_Toc439689216"/>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eastAsia="zh-CN"/>
        </w:rPr>
        <w:t>《关于</w:t>
      </w:r>
      <w:r>
        <w:rPr>
          <w:rFonts w:hint="default" w:ascii="Times New Roman" w:hAnsi="Times New Roman" w:eastAsia="宋体" w:cs="Times New Roman"/>
          <w:b w:val="0"/>
          <w:bCs/>
          <w:color w:val="auto"/>
          <w:sz w:val="24"/>
          <w:szCs w:val="24"/>
        </w:rPr>
        <w:t>池州市贵池区姚街铅锌矿年产2万吨铅锌矿石原矿采矿技改整合扩建工程项目环境影响报告</w:t>
      </w:r>
      <w:r>
        <w:rPr>
          <w:rFonts w:hint="default" w:ascii="Times New Roman" w:hAnsi="Times New Roman" w:eastAsia="宋体" w:cs="Times New Roman"/>
          <w:b w:val="0"/>
          <w:bCs/>
          <w:color w:val="auto"/>
          <w:sz w:val="24"/>
          <w:szCs w:val="24"/>
          <w:lang w:eastAsia="zh-CN"/>
        </w:rPr>
        <w:t>书</w:t>
      </w:r>
      <w:r>
        <w:rPr>
          <w:rFonts w:hint="default" w:ascii="Times New Roman" w:hAnsi="Times New Roman" w:eastAsia="宋体" w:cs="Times New Roman"/>
          <w:bCs/>
          <w:color w:val="auto"/>
          <w:sz w:val="24"/>
          <w:szCs w:val="24"/>
          <w:lang w:eastAsia="zh-CN"/>
        </w:rPr>
        <w:t>的批复</w:t>
      </w:r>
      <w:r>
        <w:rPr>
          <w:rFonts w:hint="default" w:ascii="Times New Roman" w:hAnsi="Times New Roman" w:eastAsia="宋体" w:cs="Times New Roman"/>
          <w:color w:val="auto"/>
          <w:sz w:val="24"/>
          <w:szCs w:val="24"/>
          <w:lang w:eastAsia="zh-CN"/>
        </w:rPr>
        <w:t>》（环评函</w:t>
      </w:r>
      <w:r>
        <w:rPr>
          <w:rFonts w:hint="default" w:ascii="Times New Roman" w:hAnsi="Times New Roman" w:eastAsia="宋体" w:cs="Times New Roman"/>
          <w:color w:val="auto"/>
          <w:sz w:val="24"/>
          <w:szCs w:val="24"/>
          <w:lang w:val="en-US" w:eastAsia="zh-CN"/>
        </w:rPr>
        <w:t>[2011]881号，</w:t>
      </w:r>
      <w:r>
        <w:rPr>
          <w:rFonts w:hint="default" w:ascii="Times New Roman" w:hAnsi="Times New Roman" w:eastAsia="宋体" w:cs="Times New Roman"/>
          <w:color w:val="auto"/>
          <w:sz w:val="24"/>
          <w:szCs w:val="24"/>
          <w:lang w:eastAsia="zh-CN"/>
        </w:rPr>
        <w:t>安徽省环保厅，</w:t>
      </w:r>
      <w:r>
        <w:rPr>
          <w:rFonts w:hint="default" w:ascii="Times New Roman" w:hAnsi="Times New Roman" w:eastAsia="宋体" w:cs="Times New Roman"/>
          <w:color w:val="auto"/>
          <w:sz w:val="24"/>
          <w:szCs w:val="24"/>
          <w:lang w:val="en-US" w:eastAsia="zh-CN"/>
        </w:rPr>
        <w:t>2011年8月23日</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p>
    <w:bookmarkEnd w:id="26"/>
    <w:p>
      <w:pPr>
        <w:pStyle w:val="18"/>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u w:val="none"/>
          <w:lang w:eastAsia="zh-CN"/>
        </w:rPr>
        <w:t>（</w:t>
      </w:r>
      <w:r>
        <w:rPr>
          <w:rFonts w:hint="default" w:ascii="Times New Roman" w:hAnsi="Times New Roman" w:eastAsia="宋体" w:cs="Times New Roman"/>
          <w:color w:val="auto"/>
          <w:sz w:val="24"/>
          <w:szCs w:val="24"/>
          <w:u w:val="none"/>
          <w:lang w:val="en-US" w:eastAsia="zh-CN"/>
        </w:rPr>
        <w:t>3</w:t>
      </w:r>
      <w:r>
        <w:rPr>
          <w:rFonts w:hint="default" w:ascii="Times New Roman" w:hAnsi="Times New Roman" w:eastAsia="宋体" w:cs="Times New Roman"/>
          <w:color w:val="auto"/>
          <w:sz w:val="24"/>
          <w:szCs w:val="24"/>
          <w:u w:val="none"/>
          <w:lang w:eastAsia="zh-CN"/>
        </w:rPr>
        <w:t>）池州市姚街新冲铅锌矿有限公司</w:t>
      </w:r>
      <w:r>
        <w:rPr>
          <w:rFonts w:hint="default" w:ascii="Times New Roman" w:hAnsi="Times New Roman" w:eastAsia="宋体" w:cs="Times New Roman"/>
          <w:b w:val="0"/>
          <w:bCs/>
          <w:color w:val="auto"/>
          <w:sz w:val="24"/>
          <w:szCs w:val="24"/>
          <w:u w:val="none"/>
        </w:rPr>
        <w:t>年产2万吨铅锌矿石原矿采矿技改整合扩建工程项目</w:t>
      </w:r>
      <w:r>
        <w:rPr>
          <w:rFonts w:hint="default" w:ascii="Times New Roman" w:hAnsi="Times New Roman" w:eastAsia="宋体" w:cs="Times New Roman"/>
          <w:color w:val="auto"/>
          <w:sz w:val="24"/>
          <w:szCs w:val="24"/>
        </w:rPr>
        <w:t>环保验收监测委托书</w:t>
      </w:r>
      <w:r>
        <w:rPr>
          <w:rFonts w:hint="default" w:ascii="Times New Roman" w:hAnsi="Times New Roman" w:eastAsia="宋体" w:cs="Times New Roman"/>
          <w:color w:val="auto"/>
          <w:sz w:val="24"/>
          <w:szCs w:val="24"/>
          <w:lang w:eastAsia="zh-CN"/>
        </w:rPr>
        <w:t>。</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u w:val="none"/>
          <w:lang w:eastAsia="zh-CN"/>
        </w:rPr>
        <w:t>池州市姚街新冲铅锌矿</w:t>
      </w:r>
      <w:r>
        <w:rPr>
          <w:rFonts w:hint="default" w:ascii="Times New Roman" w:hAnsi="Times New Roman" w:eastAsia="宋体" w:cs="Times New Roman"/>
          <w:sz w:val="24"/>
          <w:szCs w:val="24"/>
        </w:rPr>
        <w:t>有限公司提供的相关环保设计资料；</w:t>
      </w:r>
    </w:p>
    <w:p>
      <w:pPr>
        <w:spacing w:line="360" w:lineRule="auto"/>
        <w:ind w:firstLine="48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）项目有关的其他工程资料。</w:t>
      </w:r>
    </w:p>
    <w:p>
      <w:pPr>
        <w:pStyle w:val="4"/>
        <w:rPr>
          <w:rFonts w:hint="default"/>
        </w:rPr>
      </w:pPr>
      <w:bookmarkStart w:id="27" w:name="_Toc483653482"/>
      <w:bookmarkStart w:id="28" w:name="_Toc5317"/>
      <w:bookmarkStart w:id="29" w:name="_Toc464657294"/>
      <w:bookmarkStart w:id="30" w:name="_Toc6104"/>
      <w:bookmarkStart w:id="31" w:name="_Toc450651890"/>
      <w:bookmarkStart w:id="32" w:name="_Toc24623"/>
      <w:r>
        <w:rPr>
          <w:rFonts w:hint="default"/>
        </w:rPr>
        <w:t>1.2</w:t>
      </w:r>
      <w:r>
        <w:rPr>
          <w:rFonts w:hint="eastAsia"/>
          <w:lang w:val="en-US" w:eastAsia="zh-CN"/>
        </w:rPr>
        <w:t xml:space="preserve"> </w:t>
      </w:r>
      <w:r>
        <w:rPr>
          <w:rFonts w:hint="default"/>
        </w:rPr>
        <w:t>调查目的、原则及方法</w:t>
      </w:r>
      <w:bookmarkEnd w:id="27"/>
      <w:bookmarkEnd w:id="28"/>
      <w:bookmarkEnd w:id="29"/>
      <w:bookmarkEnd w:id="30"/>
      <w:bookmarkEnd w:id="31"/>
      <w:bookmarkEnd w:id="32"/>
    </w:p>
    <w:p>
      <w:pPr>
        <w:pStyle w:val="8"/>
        <w:spacing w:line="360" w:lineRule="auto"/>
        <w:ind w:firstLine="0" w:firstLineChars="0"/>
        <w:textAlignment w:val="center"/>
        <w:outlineLvl w:val="2"/>
        <w:rPr>
          <w:rFonts w:hint="default" w:ascii="Times New Roman" w:hAnsi="Times New Roman" w:eastAsia="宋体" w:cs="Times New Roman"/>
          <w:b/>
          <w:snapToGrid w:val="0"/>
          <w:sz w:val="24"/>
        </w:rPr>
      </w:pPr>
      <w:bookmarkStart w:id="33" w:name="_Toc26100"/>
      <w:bookmarkStart w:id="34" w:name="_Toc15033"/>
      <w:r>
        <w:rPr>
          <w:rFonts w:hint="default" w:ascii="Times New Roman" w:hAnsi="Times New Roman" w:eastAsia="宋体" w:cs="Times New Roman"/>
          <w:b/>
          <w:snapToGrid w:val="0"/>
          <w:sz w:val="24"/>
        </w:rPr>
        <w:t>1.2.1调查目的</w:t>
      </w:r>
      <w:bookmarkEnd w:id="33"/>
      <w:bookmarkEnd w:id="34"/>
    </w:p>
    <w:p>
      <w:pPr>
        <w:pStyle w:val="2"/>
        <w:spacing w:after="0" w:line="360" w:lineRule="auto"/>
        <w:ind w:firstLine="480"/>
        <w:rPr>
          <w:rFonts w:hint="default" w:ascii="Times New Roman" w:hAnsi="Times New Roman" w:eastAsia="宋体" w:cs="Times New Roman"/>
        </w:rPr>
      </w:pPr>
      <w:r>
        <w:rPr>
          <w:rFonts w:hint="default" w:ascii="Times New Roman" w:hAnsi="Times New Roman" w:eastAsia="宋体" w:cs="Times New Roman"/>
        </w:rPr>
        <w:t>（1）调查工程在设计、施工和试运营阶段对设计文件和环境影响报告书及批复中所提出的环境保护措施的落实情况</w:t>
      </w:r>
      <w:r>
        <w:rPr>
          <w:rFonts w:hint="default" w:ascii="Times New Roman" w:hAnsi="Times New Roman" w:eastAsia="宋体" w:cs="Times New Roman"/>
          <w:spacing w:val="-56"/>
        </w:rPr>
        <w:t>，</w:t>
      </w:r>
      <w:r>
        <w:rPr>
          <w:rFonts w:hint="default" w:ascii="Times New Roman" w:hAnsi="Times New Roman" w:eastAsia="宋体" w:cs="Times New Roman"/>
        </w:rPr>
        <w:t>以及对各级环境保护行政主管部门批复要求的落实情况。</w:t>
      </w:r>
    </w:p>
    <w:p>
      <w:pPr>
        <w:pStyle w:val="2"/>
        <w:spacing w:after="0" w:line="360" w:lineRule="auto"/>
        <w:ind w:firstLine="480"/>
        <w:rPr>
          <w:rFonts w:hint="default" w:ascii="Times New Roman" w:hAnsi="Times New Roman" w:eastAsia="宋体" w:cs="Times New Roman"/>
        </w:rPr>
      </w:pPr>
      <w:r>
        <w:rPr>
          <w:rFonts w:hint="default" w:ascii="Times New Roman" w:hAnsi="Times New Roman" w:eastAsia="宋体" w:cs="Times New Roman"/>
        </w:rPr>
        <w:t>（2）调查工程已采取的生态保护污染控制措施，并根据项目所在区域环境现状监测结果</w:t>
      </w:r>
      <w:r>
        <w:rPr>
          <w:rFonts w:hint="default" w:ascii="Times New Roman" w:hAnsi="Times New Roman" w:eastAsia="宋体" w:cs="Times New Roman"/>
          <w:spacing w:val="-29"/>
        </w:rPr>
        <w:t>，</w:t>
      </w:r>
      <w:r>
        <w:rPr>
          <w:rFonts w:hint="default" w:ascii="Times New Roman" w:hAnsi="Times New Roman" w:eastAsia="宋体" w:cs="Times New Roman"/>
        </w:rPr>
        <w:t>评价分析各项措施实施的有效性</w:t>
      </w:r>
      <w:r>
        <w:rPr>
          <w:rFonts w:hint="default" w:ascii="Times New Roman" w:hAnsi="Times New Roman" w:eastAsia="宋体" w:cs="Times New Roman"/>
          <w:spacing w:val="-29"/>
        </w:rPr>
        <w:t>，</w:t>
      </w:r>
      <w:r>
        <w:rPr>
          <w:rFonts w:hint="default" w:ascii="Times New Roman" w:hAnsi="Times New Roman" w:eastAsia="宋体" w:cs="Times New Roman"/>
        </w:rPr>
        <w:t>针对该工程已产生的实际环境问题及可能存在的潜在环境影响</w:t>
      </w:r>
      <w:r>
        <w:rPr>
          <w:rFonts w:hint="default" w:ascii="Times New Roman" w:hAnsi="Times New Roman" w:eastAsia="宋体" w:cs="Times New Roman"/>
          <w:spacing w:val="-29"/>
        </w:rPr>
        <w:t>，</w:t>
      </w:r>
      <w:r>
        <w:rPr>
          <w:rFonts w:hint="default" w:ascii="Times New Roman" w:hAnsi="Times New Roman" w:eastAsia="宋体" w:cs="Times New Roman"/>
        </w:rPr>
        <w:t>提出切实可行的补救措施和应急措施</w:t>
      </w:r>
      <w:r>
        <w:rPr>
          <w:rFonts w:hint="default" w:ascii="Times New Roman" w:hAnsi="Times New Roman" w:eastAsia="宋体" w:cs="Times New Roman"/>
          <w:spacing w:val="-29"/>
        </w:rPr>
        <w:t>，</w:t>
      </w:r>
      <w:r>
        <w:rPr>
          <w:rFonts w:hint="default" w:ascii="Times New Roman" w:hAnsi="Times New Roman" w:eastAsia="宋体" w:cs="Times New Roman"/>
        </w:rPr>
        <w:t>对已实施的尚不完善的措施提出改进意见。</w:t>
      </w:r>
    </w:p>
    <w:p>
      <w:pPr>
        <w:pStyle w:val="2"/>
        <w:spacing w:after="0" w:line="360" w:lineRule="auto"/>
        <w:ind w:firstLine="480"/>
        <w:rPr>
          <w:rFonts w:hint="default" w:ascii="Times New Roman" w:hAnsi="Times New Roman" w:eastAsia="宋体" w:cs="Times New Roman"/>
        </w:rPr>
      </w:pPr>
      <w:r>
        <w:rPr>
          <w:rFonts w:hint="default" w:ascii="Times New Roman" w:hAnsi="Times New Roman" w:eastAsia="宋体" w:cs="Times New Roman"/>
        </w:rPr>
        <w:t>（3）通过公众意见调查，了解公众对工程建设期及</w:t>
      </w:r>
      <w:r>
        <w:rPr>
          <w:rFonts w:hint="default" w:ascii="Times New Roman" w:hAnsi="Times New Roman" w:eastAsia="宋体" w:cs="Times New Roman"/>
          <w:lang w:eastAsia="zh-CN"/>
        </w:rPr>
        <w:t>运行</w:t>
      </w:r>
      <w:r>
        <w:rPr>
          <w:rFonts w:hint="default" w:ascii="Times New Roman" w:hAnsi="Times New Roman" w:eastAsia="宋体" w:cs="Times New Roman"/>
        </w:rPr>
        <w:t>期环境保护工作的意见和要求，针对居民工作和生活的受影响状况，提出合理的解决建议。</w:t>
      </w:r>
    </w:p>
    <w:p>
      <w:pPr>
        <w:pStyle w:val="2"/>
        <w:spacing w:after="0" w:line="360" w:lineRule="auto"/>
        <w:ind w:firstLine="480"/>
        <w:rPr>
          <w:rFonts w:hint="default" w:ascii="Times New Roman" w:hAnsi="Times New Roman" w:eastAsia="宋体" w:cs="Times New Roman"/>
        </w:rPr>
      </w:pPr>
      <w:r>
        <w:rPr>
          <w:rFonts w:hint="default" w:ascii="Times New Roman" w:hAnsi="Times New Roman" w:eastAsia="宋体" w:cs="Times New Roman"/>
        </w:rPr>
        <w:t>（4）根据工程环境影响情况调查的结果，客观、公正地从技术上论证该工程是否符合相应的竣工环境保护验收条件。</w:t>
      </w:r>
      <w:bookmarkStart w:id="35" w:name="_Toc20788"/>
      <w:bookmarkStart w:id="36" w:name="_Toc6432"/>
    </w:p>
    <w:p>
      <w:pPr>
        <w:pStyle w:val="8"/>
        <w:spacing w:line="360" w:lineRule="auto"/>
        <w:ind w:firstLine="0" w:firstLineChars="0"/>
        <w:textAlignment w:val="center"/>
        <w:outlineLvl w:val="2"/>
        <w:rPr>
          <w:rFonts w:hint="default" w:ascii="Times New Roman" w:hAnsi="Times New Roman" w:eastAsia="宋体" w:cs="Times New Roman"/>
          <w:b/>
          <w:snapToGrid w:val="0"/>
          <w:sz w:val="24"/>
        </w:rPr>
      </w:pPr>
      <w:r>
        <w:rPr>
          <w:rFonts w:hint="default" w:ascii="Times New Roman" w:hAnsi="Times New Roman" w:eastAsia="宋体" w:cs="Times New Roman"/>
          <w:b/>
          <w:snapToGrid w:val="0"/>
          <w:sz w:val="24"/>
        </w:rPr>
        <w:t>1.2.2调查原则</w:t>
      </w:r>
      <w:bookmarkEnd w:id="35"/>
      <w:bookmarkEnd w:id="36"/>
    </w:p>
    <w:p>
      <w:pPr>
        <w:pStyle w:val="2"/>
        <w:spacing w:after="0" w:line="360" w:lineRule="auto"/>
        <w:ind w:firstLine="480"/>
        <w:rPr>
          <w:rFonts w:hint="default" w:ascii="Times New Roman" w:hAnsi="Times New Roman" w:eastAsia="宋体" w:cs="Times New Roman"/>
        </w:rPr>
      </w:pPr>
      <w:r>
        <w:rPr>
          <w:rFonts w:hint="default" w:ascii="Times New Roman" w:hAnsi="Times New Roman" w:eastAsia="宋体" w:cs="Times New Roman"/>
        </w:rPr>
        <w:t>（1）认真贯彻国家和地方的环境保护法律、法规及有关规定；</w:t>
      </w:r>
    </w:p>
    <w:p>
      <w:pPr>
        <w:pStyle w:val="2"/>
        <w:spacing w:after="0" w:line="360" w:lineRule="auto"/>
        <w:ind w:firstLine="480"/>
        <w:rPr>
          <w:rFonts w:hint="default" w:ascii="Times New Roman" w:hAnsi="Times New Roman" w:eastAsia="宋体" w:cs="Times New Roman"/>
        </w:rPr>
      </w:pPr>
      <w:r>
        <w:rPr>
          <w:rFonts w:hint="default" w:ascii="Times New Roman" w:hAnsi="Times New Roman" w:eastAsia="宋体" w:cs="Times New Roman"/>
        </w:rPr>
        <w:t>（2）坚持污染防治与生态保护并重的原则；</w:t>
      </w:r>
    </w:p>
    <w:p>
      <w:pPr>
        <w:pStyle w:val="2"/>
        <w:spacing w:after="0" w:line="360" w:lineRule="auto"/>
        <w:ind w:firstLine="480"/>
        <w:rPr>
          <w:rFonts w:hint="default" w:ascii="Times New Roman" w:hAnsi="Times New Roman" w:eastAsia="宋体" w:cs="Times New Roman"/>
        </w:rPr>
      </w:pPr>
      <w:r>
        <w:rPr>
          <w:rFonts w:hint="default" w:ascii="Times New Roman" w:hAnsi="Times New Roman" w:eastAsia="宋体" w:cs="Times New Roman"/>
        </w:rPr>
        <w:t>（3）坚持客观、公正、科学、实用的原则；</w:t>
      </w:r>
    </w:p>
    <w:p>
      <w:pPr>
        <w:pStyle w:val="2"/>
        <w:spacing w:after="0" w:line="360" w:lineRule="auto"/>
        <w:ind w:firstLine="480"/>
        <w:rPr>
          <w:rFonts w:hint="default" w:ascii="Times New Roman" w:hAnsi="Times New Roman" w:eastAsia="宋体" w:cs="Times New Roman"/>
        </w:rPr>
      </w:pPr>
      <w:r>
        <w:rPr>
          <w:rFonts w:hint="default" w:ascii="Times New Roman" w:hAnsi="Times New Roman" w:eastAsia="宋体" w:cs="Times New Roman"/>
        </w:rPr>
        <w:t>（4）坚持充分利用已有资料与现场调研、现状监测相结合的原则；</w:t>
      </w:r>
    </w:p>
    <w:p>
      <w:pPr>
        <w:pStyle w:val="2"/>
        <w:spacing w:after="0" w:line="360" w:lineRule="auto"/>
        <w:ind w:firstLine="480"/>
        <w:rPr>
          <w:rFonts w:hint="default" w:ascii="Times New Roman" w:hAnsi="Times New Roman" w:eastAsia="宋体" w:cs="Times New Roman"/>
        </w:rPr>
      </w:pPr>
      <w:r>
        <w:rPr>
          <w:rFonts w:hint="default" w:ascii="Times New Roman" w:hAnsi="Times New Roman" w:eastAsia="宋体" w:cs="Times New Roman"/>
        </w:rPr>
        <w:t>（5）充分依靠该工程项目的环境监理工作成果，坚持对工程施工期、</w:t>
      </w:r>
      <w:r>
        <w:rPr>
          <w:rFonts w:hint="default" w:ascii="Times New Roman" w:hAnsi="Times New Roman" w:eastAsia="宋体" w:cs="Times New Roman"/>
          <w:lang w:eastAsia="zh-CN"/>
        </w:rPr>
        <w:t>运行期</w:t>
      </w:r>
      <w:r>
        <w:rPr>
          <w:rFonts w:hint="default" w:ascii="Times New Roman" w:hAnsi="Times New Roman" w:eastAsia="宋体" w:cs="Times New Roman"/>
        </w:rPr>
        <w:t>的环境影响全过程分析的原则。</w:t>
      </w:r>
    </w:p>
    <w:p>
      <w:pPr>
        <w:pStyle w:val="8"/>
        <w:spacing w:line="360" w:lineRule="auto"/>
        <w:ind w:firstLine="0" w:firstLineChars="0"/>
        <w:textAlignment w:val="center"/>
        <w:outlineLvl w:val="2"/>
        <w:rPr>
          <w:rFonts w:hint="default" w:ascii="Times New Roman" w:hAnsi="Times New Roman" w:eastAsia="宋体" w:cs="Times New Roman"/>
          <w:b/>
          <w:snapToGrid w:val="0"/>
          <w:sz w:val="24"/>
        </w:rPr>
      </w:pPr>
      <w:bookmarkStart w:id="37" w:name="_Toc23037"/>
      <w:bookmarkStart w:id="38" w:name="_Toc28103"/>
      <w:r>
        <w:rPr>
          <w:rFonts w:hint="default" w:ascii="Times New Roman" w:hAnsi="Times New Roman" w:eastAsia="宋体" w:cs="Times New Roman"/>
          <w:b/>
          <w:snapToGrid w:val="0"/>
          <w:sz w:val="24"/>
        </w:rPr>
        <w:t>1.2.3调查方法</w:t>
      </w:r>
      <w:bookmarkEnd w:id="37"/>
      <w:bookmarkEnd w:id="38"/>
    </w:p>
    <w:p>
      <w:pPr>
        <w:pStyle w:val="2"/>
        <w:spacing w:after="0" w:line="360" w:lineRule="auto"/>
        <w:ind w:firstLine="480"/>
        <w:rPr>
          <w:rFonts w:hint="default" w:ascii="Times New Roman" w:hAnsi="Times New Roman" w:eastAsia="宋体" w:cs="Times New Roman"/>
        </w:rPr>
      </w:pPr>
      <w:r>
        <w:rPr>
          <w:rFonts w:hint="default" w:ascii="Times New Roman" w:hAnsi="Times New Roman" w:eastAsia="宋体" w:cs="Times New Roman"/>
        </w:rPr>
        <w:t>（1）</w:t>
      </w:r>
      <w:r>
        <w:rPr>
          <w:rFonts w:hint="default" w:ascii="Times New Roman" w:hAnsi="Times New Roman" w:eastAsia="宋体" w:cs="Times New Roman"/>
          <w:szCs w:val="24"/>
        </w:rPr>
        <w:t>按照</w:t>
      </w:r>
      <w:r>
        <w:rPr>
          <w:rFonts w:hint="eastAsia"/>
          <w:color w:val="auto"/>
        </w:rPr>
        <w:t>《国务院关于修改〈建设项目环境保护管理条例〉的决定》</w:t>
      </w:r>
      <w:r>
        <w:rPr>
          <w:rFonts w:hint="default" w:ascii="Times New Roman" w:hAnsi="Times New Roman" w:eastAsia="宋体" w:cs="Times New Roman"/>
          <w:szCs w:val="24"/>
        </w:rPr>
        <w:t>和《关于建设项目环境保护设施竣工验收监测管理有关问题的通知》中的要求执行，并参照《建设项目竣工环境保护验收技术规范生态影响类（HJ/T394-2007）》等规定的方法；</w:t>
      </w:r>
    </w:p>
    <w:p>
      <w:pPr>
        <w:pStyle w:val="2"/>
        <w:spacing w:after="0" w:line="360" w:lineRule="auto"/>
        <w:ind w:firstLine="480"/>
        <w:rPr>
          <w:rFonts w:hint="default" w:ascii="Times New Roman" w:hAnsi="Times New Roman" w:eastAsia="宋体" w:cs="Times New Roman"/>
        </w:rPr>
      </w:pPr>
      <w:r>
        <w:rPr>
          <w:rFonts w:hint="default" w:ascii="Times New Roman" w:hAnsi="Times New Roman" w:eastAsia="宋体" w:cs="Times New Roman"/>
        </w:rPr>
        <w:t>（2）环境影响分析采用资料调研、现场调查和现状监测相结合的方法；</w:t>
      </w:r>
    </w:p>
    <w:p>
      <w:pPr>
        <w:pStyle w:val="2"/>
        <w:spacing w:after="0" w:line="360" w:lineRule="auto"/>
        <w:ind w:firstLine="476"/>
        <w:rPr>
          <w:rFonts w:hint="default" w:ascii="Times New Roman" w:hAnsi="Times New Roman" w:eastAsia="宋体" w:cs="Times New Roman"/>
        </w:rPr>
      </w:pPr>
      <w:r>
        <w:rPr>
          <w:rFonts w:hint="default" w:ascii="Times New Roman" w:hAnsi="Times New Roman" w:eastAsia="宋体" w:cs="Times New Roman"/>
          <w:spacing w:val="-1"/>
        </w:rPr>
        <w:t>（3）现场调查采用</w:t>
      </w:r>
      <w:r>
        <w:rPr>
          <w:rFonts w:hint="eastAsia" w:ascii="宋体" w:hAnsi="宋体" w:eastAsia="宋体" w:cs="宋体"/>
          <w:spacing w:val="-1"/>
        </w:rPr>
        <w:t>“以点为主、点面结合、反馈全区”</w:t>
      </w:r>
      <w:r>
        <w:rPr>
          <w:rFonts w:hint="default" w:ascii="Times New Roman" w:hAnsi="Times New Roman" w:eastAsia="宋体" w:cs="Times New Roman"/>
          <w:spacing w:val="-1"/>
        </w:rPr>
        <w:t>的方法；</w:t>
      </w:r>
    </w:p>
    <w:p>
      <w:pPr>
        <w:ind w:firstLine="480" w:firstLineChars="200"/>
        <w:rPr>
          <w:rFonts w:hint="default" w:ascii="Times New Roman" w:hAnsi="Times New Roman" w:eastAsia="宋体" w:cs="Times New Roman"/>
        </w:rPr>
      </w:pPr>
      <w:r>
        <w:rPr>
          <w:rFonts w:hint="default" w:ascii="Times New Roman" w:hAnsi="Times New Roman" w:eastAsia="宋体" w:cs="Times New Roman"/>
        </w:rPr>
        <w:t>（4）环境保护措施可行性分析采用改进已有措施与提出补救措施相结合的方法。</w:t>
      </w:r>
    </w:p>
    <w:p>
      <w:pPr>
        <w:pStyle w:val="2"/>
        <w:spacing w:after="0" w:line="480" w:lineRule="auto"/>
        <w:ind w:firstLine="480"/>
        <w:jc w:val="center"/>
        <w:rPr>
          <w:rFonts w:hint="default" w:ascii="Times New Roman" w:hAnsi="Times New Roman" w:eastAsia="宋体" w:cs="Times New Roman"/>
          <w:b/>
          <w:bCs/>
          <w:sz w:val="21"/>
          <w:szCs w:val="21"/>
        </w:rPr>
      </w:pPr>
      <w:r>
        <w:rPr>
          <w:color w:val="FF0000"/>
          <w:sz w:val="24"/>
        </w:rPr>
        <mc:AlternateContent>
          <mc:Choice Requires="wpg">
            <w:drawing>
              <wp:anchor distT="0" distB="0" distL="114300" distR="114300" simplePos="0" relativeHeight="251659264" behindDoc="0" locked="0" layoutInCell="1" allowOverlap="1">
                <wp:simplePos x="0" y="0"/>
                <wp:positionH relativeFrom="column">
                  <wp:posOffset>-257175</wp:posOffset>
                </wp:positionH>
                <wp:positionV relativeFrom="paragraph">
                  <wp:posOffset>111125</wp:posOffset>
                </wp:positionV>
                <wp:extent cx="5952490" cy="7839710"/>
                <wp:effectExtent l="0" t="6350" r="10160" b="21590"/>
                <wp:wrapTopAndBottom/>
                <wp:docPr id="2" name="组合 2"/>
                <wp:cNvGraphicFramePr/>
                <a:graphic xmlns:a="http://schemas.openxmlformats.org/drawingml/2006/main">
                  <a:graphicData uri="http://schemas.microsoft.com/office/word/2010/wordprocessingGroup">
                    <wpg:wgp>
                      <wpg:cNvGrpSpPr/>
                      <wpg:grpSpPr>
                        <a:xfrm>
                          <a:off x="0" y="0"/>
                          <a:ext cx="5952490" cy="7839710"/>
                          <a:chOff x="5957" y="155645"/>
                          <a:chExt cx="9374" cy="12346"/>
                        </a:xfrm>
                      </wpg:grpSpPr>
                      <wps:wsp>
                        <wps:cNvPr id="3" name="文本框 42"/>
                        <wps:cNvSpPr txBox="1"/>
                        <wps:spPr>
                          <a:xfrm>
                            <a:off x="8807" y="155845"/>
                            <a:ext cx="3915" cy="6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eastAsia="宋体"/>
                                  <w:sz w:val="21"/>
                                  <w:szCs w:val="21"/>
                                  <w:lang w:eastAsia="zh-CN"/>
                                </w:rPr>
                              </w:pPr>
                              <w:r>
                                <w:rPr>
                                  <w:rFonts w:hint="eastAsia"/>
                                  <w:sz w:val="21"/>
                                  <w:szCs w:val="21"/>
                                  <w:lang w:eastAsia="zh-CN"/>
                                </w:rPr>
                                <w:t>接受建设单位竣工环境保护验收委托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 name="文本框 46"/>
                        <wps:cNvSpPr txBox="1"/>
                        <wps:spPr>
                          <a:xfrm>
                            <a:off x="7772" y="156730"/>
                            <a:ext cx="5984"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研读资料：环境影响评价文件及审批文件、设计资料及审批文件、工程竣工资料、其它基础资料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 name="文本框 50"/>
                        <wps:cNvSpPr txBox="1"/>
                        <wps:spPr>
                          <a:xfrm>
                            <a:off x="8326" y="157780"/>
                            <a:ext cx="4907"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了解区域概况和生态特点，明确有关环境保护要求，制定初步调查工作方案</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 name="文本框 55"/>
                        <wps:cNvSpPr txBox="1"/>
                        <wps:spPr>
                          <a:xfrm>
                            <a:off x="9346" y="158935"/>
                            <a:ext cx="2838" cy="7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初步调查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 name="文本框 56"/>
                        <wps:cNvSpPr txBox="1"/>
                        <wps:spPr>
                          <a:xfrm>
                            <a:off x="7113" y="160285"/>
                            <a:ext cx="1609"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环境概况调查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 name="文本框 57"/>
                        <wps:cNvSpPr txBox="1"/>
                        <wps:spPr>
                          <a:xfrm>
                            <a:off x="8958" y="160285"/>
                            <a:ext cx="1609"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生态影响调查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 name="文本框 62"/>
                        <wps:cNvSpPr txBox="1"/>
                        <wps:spPr>
                          <a:xfrm>
                            <a:off x="10773" y="160285"/>
                            <a:ext cx="1758"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污染源和环境敏感目标调查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 name="文本框 63"/>
                        <wps:cNvSpPr txBox="1"/>
                        <wps:spPr>
                          <a:xfrm>
                            <a:off x="12753" y="160285"/>
                            <a:ext cx="1984"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环境保护设施和措施落实情况调查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文本框 64"/>
                        <wps:cNvSpPr txBox="1"/>
                        <wps:spPr>
                          <a:xfrm>
                            <a:off x="7081" y="162040"/>
                            <a:ext cx="5294" cy="48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确定验收调查范围、重点、执行标准及采用的技术方法</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 name="文本框 65"/>
                        <wps:cNvSpPr txBox="1"/>
                        <wps:spPr>
                          <a:xfrm>
                            <a:off x="12691" y="162040"/>
                            <a:ext cx="2071" cy="48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确定验收调查内容</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 name="文本框 68"/>
                        <wps:cNvSpPr txBox="1"/>
                        <wps:spPr>
                          <a:xfrm>
                            <a:off x="7756" y="163150"/>
                            <a:ext cx="5924" cy="48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编写竣工环境保护验收调查实施方案</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 name="文本框 74"/>
                        <wps:cNvSpPr txBox="1"/>
                        <wps:spPr>
                          <a:xfrm>
                            <a:off x="7068" y="164260"/>
                            <a:ext cx="1609"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生态保护措施及效果检查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文本框 75"/>
                        <wps:cNvSpPr txBox="1"/>
                        <wps:spPr>
                          <a:xfrm>
                            <a:off x="8868" y="164260"/>
                            <a:ext cx="2059"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环境保护措施及设施运行效果检查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文本框 69"/>
                        <wps:cNvSpPr txBox="1"/>
                        <wps:spPr>
                          <a:xfrm>
                            <a:off x="11298" y="164260"/>
                            <a:ext cx="1758"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环境质量和污染源监测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 name="文本框 70"/>
                        <wps:cNvSpPr txBox="1"/>
                        <wps:spPr>
                          <a:xfrm>
                            <a:off x="13322" y="164260"/>
                            <a:ext cx="1670"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公众意见调查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 name="文本框 135"/>
                        <wps:cNvSpPr txBox="1"/>
                        <wps:spPr>
                          <a:xfrm>
                            <a:off x="7113" y="165925"/>
                            <a:ext cx="1609"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val="en-US" w:eastAsia="zh-CN"/>
                                </w:rPr>
                              </w:pPr>
                              <w:r>
                                <w:rPr>
                                  <w:rFonts w:hint="eastAsia" w:eastAsia="宋体"/>
                                  <w:sz w:val="21"/>
                                  <w:szCs w:val="21"/>
                                  <w:lang w:val="en-US" w:eastAsia="zh-CN"/>
                                </w:rPr>
                                <w:t>生态影响调查与分析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 name="文本框 136"/>
                        <wps:cNvSpPr txBox="1"/>
                        <wps:spPr>
                          <a:xfrm>
                            <a:off x="9033" y="165925"/>
                            <a:ext cx="1609"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污染影响调查与分析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 name="文本框 137"/>
                        <wps:cNvSpPr txBox="1"/>
                        <wps:spPr>
                          <a:xfrm>
                            <a:off x="10953" y="165925"/>
                            <a:ext cx="1758"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公众意见分析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 name="文本框 138"/>
                        <wps:cNvSpPr txBox="1"/>
                        <wps:spPr>
                          <a:xfrm>
                            <a:off x="12993" y="165910"/>
                            <a:ext cx="1984" cy="78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补救措施与建议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 name="文本框 139"/>
                        <wps:cNvSpPr txBox="1"/>
                        <wps:spPr>
                          <a:xfrm>
                            <a:off x="7936" y="167320"/>
                            <a:ext cx="5924" cy="48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编写竣工环境保护验收调查报告</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 name="直接箭头连接符 140"/>
                        <wps:cNvCnPr/>
                        <wps:spPr>
                          <a:xfrm flipH="1">
                            <a:off x="10764" y="15649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5" name="直接箭头连接符 141"/>
                        <wps:cNvCnPr/>
                        <wps:spPr>
                          <a:xfrm flipH="1">
                            <a:off x="10764" y="15752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0" name="直接箭头连接符 142"/>
                        <wps:cNvCnPr>
                          <a:endCxn id="55" idx="0"/>
                        </wps:cNvCnPr>
                        <wps:spPr>
                          <a:xfrm>
                            <a:off x="10765" y="158575"/>
                            <a:ext cx="0" cy="36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 name="直接箭头连接符 143"/>
                        <wps:cNvCnPr/>
                        <wps:spPr>
                          <a:xfrm flipH="1">
                            <a:off x="7929" y="16003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2" name="直接箭头连接符 144"/>
                        <wps:cNvCnPr/>
                        <wps:spPr>
                          <a:xfrm flipH="1">
                            <a:off x="9789" y="16003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3" name="直接箭头连接符 145"/>
                        <wps:cNvCnPr/>
                        <wps:spPr>
                          <a:xfrm flipH="1">
                            <a:off x="11664" y="16004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4" name="直接箭头连接符 146"/>
                        <wps:cNvCnPr/>
                        <wps:spPr>
                          <a:xfrm flipH="1">
                            <a:off x="13809" y="16003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5" name="直接连接符 147"/>
                        <wps:cNvCnPr/>
                        <wps:spPr>
                          <a:xfrm>
                            <a:off x="7922" y="160025"/>
                            <a:ext cx="589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 name="直接连接符 148"/>
                        <wps:cNvCnPr>
                          <a:stCxn id="55" idx="2"/>
                        </wps:cNvCnPr>
                        <wps:spPr>
                          <a:xfrm>
                            <a:off x="10765" y="159670"/>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 name="直接连接符 149"/>
                        <wps:cNvCnPr/>
                        <wps:spPr>
                          <a:xfrm>
                            <a:off x="7915" y="16106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直接连接符 150"/>
                        <wps:cNvCnPr/>
                        <wps:spPr>
                          <a:xfrm>
                            <a:off x="9775" y="161080"/>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直接箭头连接符 161"/>
                        <wps:cNvCnPr/>
                        <wps:spPr>
                          <a:xfrm flipH="1">
                            <a:off x="9729" y="162535"/>
                            <a:ext cx="1" cy="255"/>
                          </a:xfrm>
                          <a:prstGeom prst="straightConnector1">
                            <a:avLst/>
                          </a:prstGeom>
                          <a:ln>
                            <a:solidFill>
                              <a:schemeClr val="tx1"/>
                            </a:solidFill>
                            <a:headEnd type="none"/>
                            <a:tailEnd type="none" w="med" len="med"/>
                          </a:ln>
                        </wps:spPr>
                        <wps:style>
                          <a:lnRef idx="1">
                            <a:schemeClr val="accent1"/>
                          </a:lnRef>
                          <a:fillRef idx="0">
                            <a:schemeClr val="accent1"/>
                          </a:fillRef>
                          <a:effectRef idx="0">
                            <a:schemeClr val="accent1"/>
                          </a:effectRef>
                          <a:fontRef idx="minor">
                            <a:schemeClr val="tx1"/>
                          </a:fontRef>
                        </wps:style>
                        <wps:bodyPr/>
                      </wps:wsp>
                      <wps:wsp>
                        <wps:cNvPr id="40" name="直接箭头连接符 159"/>
                        <wps:cNvCnPr/>
                        <wps:spPr>
                          <a:xfrm flipH="1">
                            <a:off x="13749" y="162535"/>
                            <a:ext cx="1" cy="255"/>
                          </a:xfrm>
                          <a:prstGeom prst="straightConnector1">
                            <a:avLst/>
                          </a:prstGeom>
                          <a:ln>
                            <a:solidFill>
                              <a:schemeClr val="tx1"/>
                            </a:solidFill>
                            <a:headEnd type="none"/>
                            <a:tailEnd type="none" w="med" len="med"/>
                          </a:ln>
                        </wps:spPr>
                        <wps:style>
                          <a:lnRef idx="1">
                            <a:schemeClr val="accent1"/>
                          </a:lnRef>
                          <a:fillRef idx="0">
                            <a:schemeClr val="accent1"/>
                          </a:fillRef>
                          <a:effectRef idx="0">
                            <a:schemeClr val="accent1"/>
                          </a:effectRef>
                          <a:fontRef idx="minor">
                            <a:schemeClr val="tx1"/>
                          </a:fontRef>
                        </wps:style>
                        <wps:bodyPr/>
                      </wps:wsp>
                      <wps:wsp>
                        <wps:cNvPr id="41" name="直接连接符 160"/>
                        <wps:cNvCnPr/>
                        <wps:spPr>
                          <a:xfrm>
                            <a:off x="9737" y="162795"/>
                            <a:ext cx="4035" cy="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 name="直接连接符 158"/>
                        <wps:cNvCnPr/>
                        <wps:spPr>
                          <a:xfrm>
                            <a:off x="10705" y="162805"/>
                            <a:ext cx="7" cy="355"/>
                          </a:xfrm>
                          <a:prstGeom prst="line">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3" name="直接箭头连接符 167"/>
                        <wps:cNvCnPr/>
                        <wps:spPr>
                          <a:xfrm flipH="1">
                            <a:off x="14154" y="16402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4" name="直接箭头连接符 172"/>
                        <wps:cNvCnPr/>
                        <wps:spPr>
                          <a:xfrm flipH="1">
                            <a:off x="7914" y="16505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 name="直接箭头连接符 170"/>
                        <wps:cNvCnPr/>
                        <wps:spPr>
                          <a:xfrm flipH="1">
                            <a:off x="9954" y="16505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6" name="直接箭头连接符 169"/>
                        <wps:cNvCnPr/>
                        <wps:spPr>
                          <a:xfrm flipH="1">
                            <a:off x="12234" y="16507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7" name="直接连接符 173"/>
                        <wps:cNvCnPr/>
                        <wps:spPr>
                          <a:xfrm flipV="1">
                            <a:off x="7907" y="165300"/>
                            <a:ext cx="6285" cy="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 name="直接连接符 171"/>
                        <wps:cNvCnPr/>
                        <wps:spPr>
                          <a:xfrm>
                            <a:off x="10750" y="16529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 name="直接连接符 151"/>
                        <wps:cNvCnPr/>
                        <wps:spPr>
                          <a:xfrm>
                            <a:off x="11650" y="161080"/>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 name="直接连接符 152"/>
                        <wps:cNvCnPr/>
                        <wps:spPr>
                          <a:xfrm>
                            <a:off x="13795" y="161080"/>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 name="直接连接符 153"/>
                        <wps:cNvCnPr/>
                        <wps:spPr>
                          <a:xfrm>
                            <a:off x="7922" y="161435"/>
                            <a:ext cx="589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 name="直接箭头连接符 157"/>
                        <wps:cNvCnPr/>
                        <wps:spPr>
                          <a:xfrm flipH="1">
                            <a:off x="9714" y="16180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3" name="直接箭头连接符 156"/>
                        <wps:cNvCnPr/>
                        <wps:spPr>
                          <a:xfrm flipH="1">
                            <a:off x="13734" y="16180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4" name="直接连接符 155"/>
                        <wps:cNvCnPr/>
                        <wps:spPr>
                          <a:xfrm>
                            <a:off x="9707" y="161790"/>
                            <a:ext cx="4035" cy="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 name="直接连接符 154"/>
                        <wps:cNvCnPr/>
                        <wps:spPr>
                          <a:xfrm>
                            <a:off x="10690" y="161440"/>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 name="直接箭头连接符 166"/>
                        <wps:cNvCnPr/>
                        <wps:spPr>
                          <a:xfrm flipH="1">
                            <a:off x="7869" y="16400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7" name="直接箭头连接符 165"/>
                        <wps:cNvCnPr/>
                        <wps:spPr>
                          <a:xfrm flipH="1">
                            <a:off x="9909" y="16400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8" name="直接箭头连接符 164"/>
                        <wps:cNvCnPr/>
                        <wps:spPr>
                          <a:xfrm flipH="1">
                            <a:off x="12189" y="16402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9" name="直接连接符 163"/>
                        <wps:cNvCnPr/>
                        <wps:spPr>
                          <a:xfrm flipV="1">
                            <a:off x="7862" y="163995"/>
                            <a:ext cx="6285" cy="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 name="直接连接符 162"/>
                        <wps:cNvCnPr/>
                        <wps:spPr>
                          <a:xfrm>
                            <a:off x="10705" y="16364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 name="直接箭头连接符 168"/>
                        <wps:cNvCnPr/>
                        <wps:spPr>
                          <a:xfrm flipH="1">
                            <a:off x="14199" y="16507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2" name="直接连接符 179"/>
                        <wps:cNvCnPr/>
                        <wps:spPr>
                          <a:xfrm>
                            <a:off x="13975" y="16670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 name="直接连接符 182"/>
                        <wps:cNvCnPr/>
                        <wps:spPr>
                          <a:xfrm>
                            <a:off x="7922" y="167060"/>
                            <a:ext cx="6075" cy="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 name="直接箭头连接符 177"/>
                        <wps:cNvCnPr/>
                        <wps:spPr>
                          <a:xfrm flipH="1">
                            <a:off x="13989" y="16565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5" name="直接箭头连接符 174"/>
                        <wps:cNvCnPr/>
                        <wps:spPr>
                          <a:xfrm flipH="1">
                            <a:off x="7929" y="16567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7" name="直接箭头连接符 175"/>
                        <wps:cNvCnPr/>
                        <wps:spPr>
                          <a:xfrm flipH="1">
                            <a:off x="11904" y="16565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8" name="直接连接符 176"/>
                        <wps:cNvCnPr/>
                        <wps:spPr>
                          <a:xfrm>
                            <a:off x="7922" y="165650"/>
                            <a:ext cx="60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 name="直接箭头连接符 178"/>
                        <wps:cNvCnPr/>
                        <wps:spPr>
                          <a:xfrm flipH="1">
                            <a:off x="9879" y="165670"/>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0" name="直接连接符 181"/>
                        <wps:cNvCnPr/>
                        <wps:spPr>
                          <a:xfrm>
                            <a:off x="7915" y="16670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 name="直接连接符 180"/>
                        <wps:cNvCnPr/>
                        <wps:spPr>
                          <a:xfrm>
                            <a:off x="11890" y="16670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 name="直接连接符 183"/>
                        <wps:cNvCnPr/>
                        <wps:spPr>
                          <a:xfrm>
                            <a:off x="9865" y="166705"/>
                            <a:ext cx="7" cy="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6" name="直接箭头连接符 184"/>
                        <wps:cNvCnPr/>
                        <wps:spPr>
                          <a:xfrm flipH="1">
                            <a:off x="10884" y="167065"/>
                            <a:ext cx="1" cy="25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7" name="矩形 185"/>
                        <wps:cNvSpPr/>
                        <wps:spPr>
                          <a:xfrm>
                            <a:off x="6827" y="155645"/>
                            <a:ext cx="8505" cy="3105"/>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8" name="矩形 186"/>
                        <wps:cNvSpPr/>
                        <wps:spPr>
                          <a:xfrm>
                            <a:off x="6827" y="158750"/>
                            <a:ext cx="8505" cy="2881"/>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9" name="矩形 187"/>
                        <wps:cNvSpPr/>
                        <wps:spPr>
                          <a:xfrm>
                            <a:off x="6827" y="161630"/>
                            <a:ext cx="8505" cy="2206"/>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0" name="文本框 192"/>
                        <wps:cNvSpPr txBox="1"/>
                        <wps:spPr>
                          <a:xfrm>
                            <a:off x="5972" y="162150"/>
                            <a:ext cx="719" cy="121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eastAsia="宋体"/>
                                  <w:lang w:eastAsia="zh-CN"/>
                                </w:rPr>
                              </w:pPr>
                              <w:r>
                                <w:rPr>
                                  <w:rFonts w:hint="eastAsia"/>
                                  <w:sz w:val="21"/>
                                  <w:szCs w:val="21"/>
                                  <w:lang w:eastAsia="zh-CN"/>
                                </w:rPr>
                                <w:t>实施方案阶段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1" name="矩形 189"/>
                        <wps:cNvSpPr/>
                        <wps:spPr>
                          <a:xfrm>
                            <a:off x="6827" y="165485"/>
                            <a:ext cx="8505" cy="2506"/>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2" name="文本框 191"/>
                        <wps:cNvSpPr txBox="1"/>
                        <wps:spPr>
                          <a:xfrm>
                            <a:off x="5972" y="159495"/>
                            <a:ext cx="719" cy="121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eastAsia="宋体"/>
                                  <w:lang w:eastAsia="zh-CN"/>
                                </w:rPr>
                              </w:pPr>
                              <w:r>
                                <w:rPr>
                                  <w:rFonts w:hint="eastAsia"/>
                                  <w:sz w:val="21"/>
                                  <w:szCs w:val="21"/>
                                  <w:lang w:eastAsia="zh-CN"/>
                                </w:rPr>
                                <w:t>初步调查阶段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3" name="矩形 188"/>
                        <wps:cNvSpPr/>
                        <wps:spPr>
                          <a:xfrm>
                            <a:off x="6827" y="163835"/>
                            <a:ext cx="8505" cy="1651"/>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4" name="文本框 190"/>
                        <wps:cNvSpPr txBox="1"/>
                        <wps:spPr>
                          <a:xfrm>
                            <a:off x="5957" y="156675"/>
                            <a:ext cx="719" cy="871"/>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eastAsia="宋体"/>
                                  <w:lang w:eastAsia="zh-CN"/>
                                </w:rPr>
                              </w:pPr>
                              <w:r>
                                <w:rPr>
                                  <w:rFonts w:hint="eastAsia"/>
                                  <w:sz w:val="21"/>
                                  <w:szCs w:val="21"/>
                                  <w:lang w:eastAsia="zh-CN"/>
                                </w:rPr>
                                <w:t>准备阶段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5" name="文本框 193"/>
                        <wps:cNvSpPr txBox="1"/>
                        <wps:spPr>
                          <a:xfrm>
                            <a:off x="5987" y="164055"/>
                            <a:ext cx="719" cy="121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eastAsia="宋体"/>
                                  <w:lang w:eastAsia="zh-CN"/>
                                </w:rPr>
                              </w:pPr>
                              <w:r>
                                <w:rPr>
                                  <w:rFonts w:hint="eastAsia"/>
                                  <w:sz w:val="21"/>
                                  <w:szCs w:val="21"/>
                                  <w:lang w:eastAsia="zh-CN"/>
                                </w:rPr>
                                <w:t>详细调查阶段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6" name="文本框 194"/>
                        <wps:cNvSpPr txBox="1"/>
                        <wps:spPr>
                          <a:xfrm>
                            <a:off x="5987" y="166020"/>
                            <a:ext cx="719" cy="1501"/>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eastAsia" w:eastAsia="宋体"/>
                                  <w:lang w:eastAsia="zh-CN"/>
                                </w:rPr>
                              </w:pPr>
                              <w:r>
                                <w:rPr>
                                  <w:rFonts w:hint="eastAsia"/>
                                  <w:sz w:val="21"/>
                                  <w:szCs w:val="21"/>
                                  <w:lang w:eastAsia="zh-CN"/>
                                </w:rPr>
                                <w:t>编制调查报告阶段</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0.25pt;margin-top:8.75pt;height:617.3pt;width:468.7pt;mso-wrap-distance-bottom:0pt;mso-wrap-distance-top:0pt;z-index:251659264;mso-width-relative:page;mso-height-relative:page;" coordorigin="5957,155645" coordsize="9374,12346" o:gfxdata="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">
                <o:lock v:ext="edit" aspectratio="f"/>
                <v:shape id="文本框 42" o:spid="_x0000_s1026" o:spt="202" type="#_x0000_t202" style="position:absolute;left:8807;top:155845;height:630;width:3915;" fillcolor="#FFFFFF [3201]" filled="t" stroked="t" coordsize="21600,21600" o:gfxdata="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m8k4S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eastAsia="宋体"/>
                            <w:sz w:val="21"/>
                            <w:szCs w:val="21"/>
                            <w:lang w:eastAsia="zh-CN"/>
                          </w:rPr>
                        </w:pPr>
                        <w:r>
                          <w:rPr>
                            <w:rFonts w:hint="eastAsia"/>
                            <w:sz w:val="21"/>
                            <w:szCs w:val="21"/>
                            <w:lang w:eastAsia="zh-CN"/>
                          </w:rPr>
                          <w:t>接受建设单位竣工环境保护验收委托</w:t>
                        </w:r>
                      </w:p>
                    </w:txbxContent>
                  </v:textbox>
                </v:shape>
                <v:shape id="文本框 46" o:spid="_x0000_s1026" o:spt="202" type="#_x0000_t202" style="position:absolute;left:7772;top:156730;height:781;width:5984;" fillcolor="#FFFFFF [3201]" filled="t" stroked="t" coordsize="21600,21600" o:gfxdata="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ZVC/C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研读资料：环境影响评价文件及审批文件、设计资料及审批文件、工程竣工资料、其它基础资料</w:t>
                        </w:r>
                      </w:p>
                    </w:txbxContent>
                  </v:textbox>
                </v:shape>
                <v:shape id="文本框 50" o:spid="_x0000_s1026" o:spt="202" type="#_x0000_t202" style="position:absolute;left:8326;top:157780;height:781;width:4907;" fillcolor="#FFFFFF [3201]" filled="t" stroked="t" coordsize="21600,21600" o:gfxdata="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kZrmu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了解区域概况和生态特点，明确有关环境保护要求，制定初步调查工作方案</w:t>
                        </w:r>
                      </w:p>
                    </w:txbxContent>
                  </v:textbox>
                </v:shape>
                <v:shape id="文本框 55" o:spid="_x0000_s1026" o:spt="202" type="#_x0000_t202" style="position:absolute;left:9346;top:158935;height:735;width:2838;" fillcolor="#FFFFFF [3201]" filled="t" stroked="t" coordsize="21600,21600" o:gfxdata="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nLMBy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初步调查</w:t>
                        </w:r>
                      </w:p>
                    </w:txbxContent>
                  </v:textbox>
                </v:shape>
                <v:shape id="文本框 56" o:spid="_x0000_s1026" o:spt="202" type="#_x0000_t202" style="position:absolute;left:7113;top:160285;height:781;width:1609;" fillcolor="#FFFFFF [3201]" filled="t" stroked="t" coordsize="21600,21600" o:gfxdata="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aHlYe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环境概况调查</w:t>
                        </w:r>
                      </w:p>
                    </w:txbxContent>
                  </v:textbox>
                </v:shape>
                <v:shape id="文本框 57" o:spid="_x0000_s1026" o:spt="202" type="#_x0000_t202" style="position:absolute;left:8958;top:160285;height:781;width:1609;" fillcolor="#FFFFFF [3201]" filled="t" stroked="t" coordsize="21600,21600" o:gfxdata="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PcYAfWzAAAA2gAAAA8AAAAA&#10;AAAAAQAgAAAAIgAAAGRycy9kb3ducmV2LnhtbFBLAQIUABQAAAAIAIdO4kAzLwWeOwAAADkAAAAQ&#10;AAAAAAAAAAEAIAAAAAIBAABkcnMvc2hhcGV4bWwueG1sUEsFBgAAAAAGAAYAWwEAAKwDAAAAAA==&#10;">
                  <v:fill on="t" focussize="0,0"/>
                  <v:stroke weight="0.5pt" color="#000000 [3204]" joinstyle="round"/>
                  <v:imagedata o:title=""/>
                  <o:lock v:ext="edit" aspectratio="f"/>
                  <v:textbo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生态影响调查</w:t>
                        </w:r>
                      </w:p>
                    </w:txbxContent>
                  </v:textbox>
                </v:shape>
                <v:shape id="文本框 62" o:spid="_x0000_s1026" o:spt="202" type="#_x0000_t202" style="position:absolute;left:10773;top:160285;height:781;width:1758;" fillcolor="#FFFFFF [3201]" filled="t" stroked="t" coordsize="21600,21600" o:gfxdata="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hUpG6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污染源和环境敏感目标调查</w:t>
                        </w:r>
                      </w:p>
                    </w:txbxContent>
                  </v:textbox>
                </v:shape>
                <v:shape id="文本框 63" o:spid="_x0000_s1026" o:spt="202" type="#_x0000_t202" style="position:absolute;left:12753;top:160285;height:781;width:1984;" fillcolor="#FFFFFF [3201]" filled="t" stroked="t" coordsize="21600,21600" o:gfxdata="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SCJrgAAADbAAAA&#10;DwAAAAAAAAABACAAAAAiAAAAZHJzL2Rvd25yZXYueG1sUEsBAhQAFAAAAAgAh07iQDMvBZ47AAAA&#10;OQAAABAAAAAAAAAAAQAgAAAABwEAAGRycy9zaGFwZXhtbC54bWxQSwUGAAAAAAYABgBbAQAAsQMA&#10;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环境保护设施和措施落实情况调查</w:t>
                        </w:r>
                      </w:p>
                    </w:txbxContent>
                  </v:textbox>
                </v:shape>
                <v:shape id="文本框 64" o:spid="_x0000_s1026" o:spt="202" type="#_x0000_t202" style="position:absolute;left:7081;top:162040;height:482;width:5294;" fillcolor="#FFFFFF [3201]" filled="t" stroked="t" coordsize="21600,21600" o:gfxdata="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TuCe9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确定验收调查范围、重点、执行标准及采用的技术方法</w:t>
                        </w:r>
                      </w:p>
                    </w:txbxContent>
                  </v:textbox>
                </v:shape>
                <v:shape id="文本框 65" o:spid="_x0000_s1026" o:spt="202" type="#_x0000_t202" style="position:absolute;left:12691;top:162040;height:482;width:2071;" fillcolor="#FFFFFF [3201]" filled="t" stroked="t" coordsize="21600,21600" o:gfxdata="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jarnK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确定验收调查内容</w:t>
                        </w:r>
                      </w:p>
                    </w:txbxContent>
                  </v:textbox>
                </v:shape>
                <v:shape id="文本框 68" o:spid="_x0000_s1026" o:spt="202" type="#_x0000_t202" style="position:absolute;left:7756;top:163150;height:482;width:5924;" fillcolor="#FFFFFF [3201]" filled="t" stroked="t" coordsize="21600,21600" o:gfxdata="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MJhxR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编写竣工环境保护验收调查实施方案</w:t>
                        </w:r>
                      </w:p>
                    </w:txbxContent>
                  </v:textbox>
                </v:shape>
                <v:shape id="文本框 74" o:spid="_x0000_s1026" o:spt="202" type="#_x0000_t202" style="position:absolute;left:7068;top:164260;height:781;width:1609;" fillcolor="#FFFFFF [3201]" filled="t" stroked="t" coordsize="21600,21600" o:gfxdata="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g8+EJbUAAADb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生态保护措施及效果检查</w:t>
                        </w:r>
                      </w:p>
                    </w:txbxContent>
                  </v:textbox>
                </v:shape>
                <v:shape id="文本框 75" o:spid="_x0000_s1026" o:spt="202" type="#_x0000_t202" style="position:absolute;left:8868;top:164260;height:781;width:2059;" fillcolor="#FFFFFF [3201]" filled="t" stroked="t" coordsize="21600,21600" o:gfxdata="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7IMhvrUAAADb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环境保护措施及设施运行效果检查</w:t>
                        </w:r>
                      </w:p>
                    </w:txbxContent>
                  </v:textbox>
                </v:shape>
                <v:shape id="文本框 69" o:spid="_x0000_s1026" o:spt="202" type="#_x0000_t202" style="position:absolute;left:11298;top:164260;height:781;width:1758;" fillcolor="#FFFFFF [3201]" filled="t" stroked="t" coordsize="21600,21600" o:gfxdata="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cUb/J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环境质量和污染源监测</w:t>
                        </w:r>
                      </w:p>
                    </w:txbxContent>
                  </v:textbox>
                </v:shape>
                <v:shape id="文本框 70" o:spid="_x0000_s1026" o:spt="202" type="#_x0000_t202" style="position:absolute;left:13322;top:164260;height:781;width:1670;" fillcolor="#FFFFFF [3201]" filled="t" stroked="t" coordsize="21600,21600" o:gfxdata="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cx0aUrUAAADb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公众意见调查</w:t>
                        </w:r>
                      </w:p>
                    </w:txbxContent>
                  </v:textbox>
                </v:shape>
                <v:shape id="文本框 135" o:spid="_x0000_s1026" o:spt="202" type="#_x0000_t202" style="position:absolute;left:7113;top:165925;height:781;width:1609;" fillcolor="#FFFFFF [3201]" filled="t" stroked="t" coordsize="21600,21600" o:gfxdata="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oKOILgAAADbAAAA&#10;DwAAAAAAAAABACAAAAAiAAAAZHJzL2Rvd25yZXYueG1sUEsBAhQAFAAAAAgAh07iQDMvBZ47AAAA&#10;OQAAABAAAAAAAAAAAQAgAAAABwEAAGRycy9zaGFwZXhtbC54bWxQSwUGAAAAAAYABgBbAQAAsQMA&#10;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val="en-US" w:eastAsia="zh-CN"/>
                          </w:rPr>
                        </w:pPr>
                        <w:r>
                          <w:rPr>
                            <w:rFonts w:hint="eastAsia" w:eastAsia="宋体"/>
                            <w:sz w:val="21"/>
                            <w:szCs w:val="21"/>
                            <w:lang w:val="en-US" w:eastAsia="zh-CN"/>
                          </w:rPr>
                          <w:t>生态影响调查与分析</w:t>
                        </w:r>
                      </w:p>
                    </w:txbxContent>
                  </v:textbox>
                </v:shape>
                <v:shape id="文本框 136" o:spid="_x0000_s1026" o:spt="202" type="#_x0000_t202" style="position:absolute;left:9033;top:165925;height:781;width:1609;" fillcolor="#FFFFFF [3201]" filled="t" stroked="t" coordsize="21600,21600" o:gfxdata="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bc4ru7UAAADb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污染影响调查与分析</w:t>
                        </w:r>
                      </w:p>
                    </w:txbxContent>
                  </v:textbox>
                </v:shape>
                <v:shape id="文本框 137" o:spid="_x0000_s1026" o:spt="202" type="#_x0000_t202" style="position:absolute;left:10953;top:165925;height:781;width:1758;" fillcolor="#FFFFFF [3201]" filled="t" stroked="t" coordsize="21600,21600" o:gfxdata="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ymEib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公众意见分析</w:t>
                        </w:r>
                      </w:p>
                    </w:txbxContent>
                  </v:textbox>
                </v:shape>
                <v:shape id="文本框 138" o:spid="_x0000_s1026" o:spt="202" type="#_x0000_t202" style="position:absolute;left:12993;top:165910;height:781;width:1984;" fillcolor="#FFFFFF [3201]" filled="t" stroked="t" coordsize="21600,21600" o:gfxdata="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3U7QC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480" w:lineRule="auto"/>
                          <w:ind w:left="0" w:leftChars="0" w:firstLine="0" w:firstLineChars="0"/>
                          <w:jc w:val="center"/>
                          <w:rPr>
                            <w:rFonts w:hint="eastAsia" w:eastAsia="宋体"/>
                            <w:sz w:val="21"/>
                            <w:szCs w:val="21"/>
                            <w:lang w:eastAsia="zh-CN"/>
                          </w:rPr>
                        </w:pPr>
                        <w:r>
                          <w:rPr>
                            <w:rFonts w:hint="eastAsia"/>
                            <w:sz w:val="21"/>
                            <w:szCs w:val="21"/>
                            <w:lang w:eastAsia="zh-CN"/>
                          </w:rPr>
                          <w:t>补救措施与建议</w:t>
                        </w:r>
                      </w:p>
                    </w:txbxContent>
                  </v:textbox>
                </v:shape>
                <v:shape id="文本框 139" o:spid="_x0000_s1026" o:spt="202" type="#_x0000_t202" style="position:absolute;left:7936;top:167320;height:482;width:5924;" fillcolor="#FFFFFF [3201]" filled="t" stroked="t" coordsize="21600,21600" o:gfxdata="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0Gc3e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编写竣工环境保护验收调查报告</w:t>
                        </w:r>
                      </w:p>
                    </w:txbxContent>
                  </v:textbox>
                </v:shape>
                <v:shape id="直接箭头连接符 140" o:spid="_x0000_s1026" o:spt="32" type="#_x0000_t32" style="position:absolute;left:10764;top:156490;flip:x;height:255;width:1;" filled="f" stroked="t" coordsize="21600,21600" o:gfxdata="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6q1Q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直接箭头连接符 141" o:spid="_x0000_s1026" o:spt="32" type="#_x0000_t32" style="position:absolute;left:10764;top:157525;flip:x;height:255;width:1;" filled="f" stroked="t" coordsize="21600,21600" o:gfxdata="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pgjL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直接箭头连接符 142" o:spid="_x0000_s1026" o:spt="32" type="#_x0000_t32" style="position:absolute;left:10765;top:158575;height:360;width:0;" filled="f" stroked="t" coordsize="21600,21600" o:gfxdata="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LOPK+5AAAA2wAA&#10;AA8AAAAAAAAAAQAgAAAAIgAAAGRycy9kb3ducmV2LnhtbFBLAQIUABQAAAAIAIdO4kAzLwWeOwAA&#10;ADkAAAAQAAAAAAAAAAEAIAAAAAgBAABkcnMvc2hhcGV4bWwueG1sUEsFBgAAAAAGAAYAWwEAALID&#10;AAAAAA==&#10;">
                  <v:fill on="f" focussize="0,0"/>
                  <v:stroke weight="0.5pt" color="#000000 [3213]" miterlimit="8" joinstyle="miter" endarrow="block"/>
                  <v:imagedata o:title=""/>
                  <o:lock v:ext="edit" aspectratio="f"/>
                </v:shape>
                <v:shape id="直接箭头连接符 143" o:spid="_x0000_s1026" o:spt="32" type="#_x0000_t32" style="position:absolute;left:7929;top:160030;flip:x;height:255;width:1;" filled="f" stroked="t" coordsize="21600,21600" o:gfxdata="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0SYFb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直接箭头连接符 144" o:spid="_x0000_s1026" o:spt="32" type="#_x0000_t32" style="position:absolute;left:9789;top:160030;flip:x;height:255;width:1;" filled="f" stroked="t" coordsize="21600,21600" o:gfxdata="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lgZi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直接箭头连接符 145" o:spid="_x0000_s1026" o:spt="32" type="#_x0000_t32" style="position:absolute;left:11664;top:160045;flip:x;height:255;width:1;" filled="f" stroked="t" coordsize="21600,21600" o:gfxdata="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2qP5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直接箭头连接符 146" o:spid="_x0000_s1026" o:spt="32" type="#_x0000_t32" style="position:absolute;left:13809;top:160030;flip:x;height:255;width:1;" filled="f" stroked="t" coordsize="21600,21600" o:gfxdata="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zM7jb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line id="直接连接符 147" o:spid="_x0000_s1026" o:spt="20" style="position:absolute;left:7922;top:160025;height:0;width:5895;" filled="f" stroked="t" coordsize="21600,21600" o:gfxdata="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eeVc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直接连接符 148" o:spid="_x0000_s1026" o:spt="20" style="position:absolute;left:10765;top:159670;height:355;width:7;" filled="f" stroked="t" coordsize="21600,21600" o:gfxdata="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q3sr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直接连接符 149" o:spid="_x0000_s1026" o:spt="20" style="position:absolute;left:7915;top:161065;height:355;width:7;" filled="f" stroked="t" coordsize="21600,21600" o:gfxdata="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596w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直接连接符 150" o:spid="_x0000_s1026" o:spt="20" style="position:absolute;left:9775;top:161080;height:355;width:7;" filled="f" stroked="t" coordsize="21600,21600" o:gfxdata="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eErC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直接箭头连接符 161" o:spid="_x0000_s1026" o:spt="32" type="#_x0000_t32" style="position:absolute;left:9729;top:162535;flip:x;height:255;width:1;" filled="f" stroked="t" coordsize="21600,21600" o:gfxdata="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YTEtL4A&#10;AADb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shape>
                <v:shape id="直接箭头连接符 159" o:spid="_x0000_s1026" o:spt="32" type="#_x0000_t32" style="position:absolute;left:13749;top:162535;flip:x;height:255;width:1;" filled="f" stroked="t" coordsize="21600,21600" o:gfxdata="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LgeVLsAAADb&#10;AAAADwAAAAAAAAABACAAAAAiAAAAZHJzL2Rvd25yZXYueG1sUEsBAhQAFAAAAAgAh07iQDMvBZ47&#10;AAAAOQAAABAAAAAAAAAAAQAgAAAACgEAAGRycy9zaGFwZXhtbC54bWxQSwUGAAAAAAYABgBbAQAA&#10;tAMAAAAA&#10;">
                  <v:fill on="f" focussize="0,0"/>
                  <v:stroke weight="0.5pt" color="#000000 [3213]" miterlimit="8" joinstyle="miter"/>
                  <v:imagedata o:title=""/>
                  <o:lock v:ext="edit" aspectratio="f"/>
                </v:shape>
                <v:line id="直接连接符 160" o:spid="_x0000_s1026" o:spt="20" style="position:absolute;left:9737;top:162795;height:5;width:4035;" filled="f" stroked="t" coordsize="21600,21600" o:gfxdata="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RJAi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直接连接符 158" o:spid="_x0000_s1026" o:spt="20" style="position:absolute;left:10705;top:162805;height:355;width:7;" filled="f" stroked="t" coordsize="21600,21600" o:gfxdata="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YCfm8AAAA&#10;2w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line>
                <v:shape id="直接箭头连接符 167" o:spid="_x0000_s1026" o:spt="32" type="#_x0000_t32" style="position:absolute;left:14154;top:164020;flip:x;height:255;width:1;" filled="f" stroked="t" coordsize="21600,21600" o:gfxdata="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zQhL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直接箭头连接符 172" o:spid="_x0000_s1026" o:spt="32" type="#_x0000_t32" style="position:absolute;left:7914;top:165055;flip:x;height:255;width:1;" filled="f" stroked="t" coordsize="21600,21600" o:gfxdata="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NUjw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直接箭头连接符 170" o:spid="_x0000_s1026" o:spt="32" type="#_x0000_t32" style="position:absolute;left:9954;top:165055;flip:x;height:255;width:1;" filled="f" stroked="t" coordsize="21600,21600" o:gfxdata="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Hnta7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直接箭头连接符 169" o:spid="_x0000_s1026" o:spt="32" type="#_x0000_t32" style="position:absolute;left:12234;top:165070;flip:x;height:255;width:1;" filled="f" stroked="t" coordsize="21600,21600" o:gfxdata="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q3Mc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line id="直接连接符 173" o:spid="_x0000_s1026" o:spt="20" style="position:absolute;left:7907;top:165300;flip:y;height:5;width:6285;" filled="f" stroked="t" coordsize="21600,21600" o:gfxdata="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bB+H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直接连接符 171" o:spid="_x0000_s1026" o:spt="20" style="position:absolute;left:10750;top:165295;height:355;width:7;" filled="f" stroked="t" coordsize="21600,21600" o:gfxdata="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fjm/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直接连接符 151" o:spid="_x0000_s1026" o:spt="20" style="position:absolute;left:11650;top:161080;height:355;width:7;" filled="f" stroked="t" coordsize="21600,21600" o:gfxdata="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TKcJL4A&#10;AADb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直接连接符 152" o:spid="_x0000_s1026" o:spt="20" style="position:absolute;left:13795;top:161080;height:355;width:7;" filled="f" stroked="t" coordsize="21600,21600" o:gfxdata="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0aNk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直接连接符 153" o:spid="_x0000_s1026" o:spt="20" style="position:absolute;left:7922;top:161435;height:0;width:5895;" filled="f" stroked="t" coordsize="21600,21600" o:gfxdata="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nQb/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直接箭头连接符 157" o:spid="_x0000_s1026" o:spt="32" type="#_x0000_t32" style="position:absolute;left:9714;top:161800;flip:x;height:255;width:1;" filled="f" stroked="t" coordsize="21600,21600" o:gfxdata="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SePC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直接箭头连接符 156" o:spid="_x0000_s1026" o:spt="32" type="#_x0000_t32" style="position:absolute;left:13734;top:161800;flip:x;height:255;width:1;" filled="f" stroked="t" coordsize="21600,21600" o:gfxdata="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QVGWb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line id="直接连接符 155" o:spid="_x0000_s1026" o:spt="20" style="position:absolute;left:9707;top:161790;height:5;width:4035;" filled="f" stroked="t" coordsize="21600,21600" o:gfxdata="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6qVn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直接连接符 154" o:spid="_x0000_s1026" o:spt="20" style="position:absolute;left:10690;top:161440;height:355;width:7;" filled="f" stroked="t" coordsize="21600,21600" o:gfxdata="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pgD8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直接箭头连接符 166" o:spid="_x0000_s1026" o:spt="32" type="#_x0000_t32" style="position:absolute;left:7869;top:164005;flip:x;height:255;width:1;" filled="f" stroked="t" coordsize="21600,21600" o:gfxdata="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cuXB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直接箭头连接符 165" o:spid="_x0000_s1026" o:spt="32" type="#_x0000_t32" style="position:absolute;left:9909;top:164005;flip:x;height:255;width:1;" filled="f" stroked="t" coordsize="21600,21600" o:gfxdata="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j5AWr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直接箭头连接符 164" o:spid="_x0000_s1026" o:spt="32" type="#_x0000_t32" style="position:absolute;left:12189;top:164020;flip:x;height:255;width:1;" filled="f" stroked="t" coordsize="21600,21600" o:gfxdata="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Oh1Ci5AAAA2wAA&#10;AA8AAAAAAAAAAQAgAAAAIgAAAGRycy9kb3ducmV2LnhtbFBLAQIUABQAAAAIAIdO4kAzLwWeOwAA&#10;ADkAAAAQAAAAAAAAAAEAIAAAAAgBAABkcnMvc2hhcGV4bWwueG1sUEsFBgAAAAAGAAYAWwEAALID&#10;AAAAAA==&#10;">
                  <v:fill on="f" focussize="0,0"/>
                  <v:stroke weight="0.5pt" color="#000000 [3213]" miterlimit="8" joinstyle="miter" endarrow="block"/>
                  <v:imagedata o:title=""/>
                  <o:lock v:ext="edit" aspectratio="f"/>
                </v:shape>
                <v:line id="直接连接符 163" o:spid="_x0000_s1026" o:spt="20" style="position:absolute;left:7862;top:163995;flip:y;height:5;width:6285;" filled="f" stroked="t" coordsize="21600,21600" o:gfxdata="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dmuLO8AAAA&#10;2w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line>
                <v:line id="直接连接符 162" o:spid="_x0000_s1026" o:spt="20" style="position:absolute;left:10705;top:163645;height:355;width:7;" filled="f" stroked="t" coordsize="21600,21600" o:gfxdata="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vWnZ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直接箭头连接符 168" o:spid="_x0000_s1026" o:spt="32" type="#_x0000_t32" style="position:absolute;left:14199;top:165070;flip:x;height:255;width:1;" filled="f" stroked="t" coordsize="21600,21600" o:gfxdata="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Pe3CL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line id="直接连接符 179" o:spid="_x0000_s1026" o:spt="20" style="position:absolute;left:13975;top:166705;height:355;width:7;" filled="f" stroked="t" coordsize="21600,21600" o:gfxdata="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wjUjW8AAAA&#10;2w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line>
                <v:line id="直接连接符 182" o:spid="_x0000_s1026" o:spt="20" style="position:absolute;left:7922;top:167060;height:5;width:6075;" filled="f" stroked="t" coordsize="21600,21600" o:gfxdata="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b/eu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直接箭头连接符 177" o:spid="_x0000_s1026" o:spt="32" type="#_x0000_t32" style="position:absolute;left:13989;top:165655;flip:x;height:255;width:1;" filled="f" stroked="t" coordsize="21600,21600" o:gfxdata="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gBSQ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直接箭头连接符 174" o:spid="_x0000_s1026" o:spt="32" type="#_x0000_t32" style="position:absolute;left:7929;top:165670;flip:x;height:255;width:1;" filled="f" stroked="t" coordsize="21600,21600" o:gfxdata="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zLEL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直接箭头连接符 175" o:spid="_x0000_s1026" o:spt="32" type="#_x0000_t32" style="position:absolute;left:11904;top:165655;flip:x;height:255;width:1;" filled="f" stroked="t" coordsize="21600,21600" o:gfxdata="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FKK57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line id="直接连接符 176" o:spid="_x0000_s1026" o:spt="20" style="position:absolute;left:7922;top:165650;height:0;width:6060;" filled="f" stroked="t" coordsize="21600,21600" o:gfxdata="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y2Xf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直接箭头连接符 178" o:spid="_x0000_s1026" o:spt="32" type="#_x0000_t32" style="position:absolute;left:9879;top:165670;flip:x;height:255;width:1;" filled="f" stroked="t" coordsize="21600,21600" o:gfxdata="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oG7Dr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line id="直接连接符 181" o:spid="_x0000_s1026" o:spt="20" style="position:absolute;left:7915;top:166705;height:355;width:7;" filled="f" stroked="t" coordsize="21600,21600" o:gfxdata="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ZP8E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直接连接符 180" o:spid="_x0000_s1026" o:spt="20" style="position:absolute;left:11890;top:166705;height:355;width:7;" filled="f" stroked="t" coordsize="21600,21600" o:gfxdata="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KFqf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line id="直接连接符 183" o:spid="_x0000_s1026" o:spt="20" style="position:absolute;left:9865;top:166705;height:355;width:7;" filled="f" stroked="t" coordsize="21600,21600" o:gfxdata="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sTo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直接箭头连接符 184" o:spid="_x0000_s1026" o:spt="32" type="#_x0000_t32" style="position:absolute;left:10884;top:167065;flip:x;height:255;width:1;" filled="f" stroked="t" coordsize="21600,21600" o:gfxdata="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se5ob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rect id="矩形 185" o:spid="_x0000_s1026" o:spt="1" style="position:absolute;left:6827;top:155645;height:3105;width:8505;v-text-anchor:middle;" filled="f" stroked="t" coordsize="21600,21600" o:gfxdata="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CRv628AAAA&#10;2wAAAA8AAAAAAAAAAQAgAAAAIgAAAGRycy9kb3ducmV2LnhtbFBLAQIUABQAAAAIAIdO4kAzLwWe&#10;OwAAADkAAAAQAAAAAAAAAAEAIAAAAAsBAABkcnMvc2hhcGV4bWwueG1sUEsFBgAAAAAGAAYAWwEA&#10;ALUDAAAAAA==&#10;">
                  <v:fill on="f" focussize="0,0"/>
                  <v:stroke weight="1pt" color="#A5A5A5 [3206]" miterlimit="8" joinstyle="miter"/>
                  <v:imagedata o:title=""/>
                  <o:lock v:ext="edit" aspectratio="f"/>
                </v:rect>
                <v:rect id="矩形 186" o:spid="_x0000_s1026" o:spt="1" style="position:absolute;left:6827;top:158750;height:2881;width:8505;v-text-anchor:middle;" filled="f" stroked="t" coordsize="21600,21600" o:gfxdata="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EOK9+5AAAA2wAA&#10;AA8AAAAAAAAAAQAgAAAAIgAAAGRycy9kb3ducmV2LnhtbFBLAQIUABQAAAAIAIdO4kAzLwWeOwAA&#10;ADkAAAAQAAAAAAAAAAEAIAAAAAgBAABkcnMvc2hhcGV4bWwueG1sUEsFBgAAAAAGAAYAWwEAALID&#10;AAAAAA==&#10;">
                  <v:fill on="f" focussize="0,0"/>
                  <v:stroke weight="1pt" color="#A5A5A5 [3206]" miterlimit="8" joinstyle="miter"/>
                  <v:imagedata o:title=""/>
                  <o:lock v:ext="edit" aspectratio="f"/>
                </v:rect>
                <v:rect id="矩形 187" o:spid="_x0000_s1026" o:spt="1" style="position:absolute;left:6827;top:161630;height:2206;width:8505;v-text-anchor:middle;" filled="f" stroked="t" coordsize="21600,21600" o:gfxdata="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kKORL4A&#10;AADbAAAADwAAAAAAAAABACAAAAAiAAAAZHJzL2Rvd25yZXYueG1sUEsBAhQAFAAAAAgAh07iQDMv&#10;BZ47AAAAOQAAABAAAAAAAAAAAQAgAAAADQEAAGRycy9zaGFwZXhtbC54bWxQSwUGAAAAAAYABgBb&#10;AQAAtwMAAAAA&#10;">
                  <v:fill on="f" focussize="0,0"/>
                  <v:stroke weight="1pt" color="#A5A5A5 [3206]" miterlimit="8" joinstyle="miter"/>
                  <v:imagedata o:title=""/>
                  <o:lock v:ext="edit" aspectratio="f"/>
                </v:rect>
                <v:shape id="文本框 192" o:spid="_x0000_s1026" o:spt="202" type="#_x0000_t202" style="position:absolute;left:5972;top:162150;height:1216;width:719;" fillcolor="#FFFFFF [3201]" filled="t" stroked="f" coordsize="21600,21600" o:gfxdata="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JO6PzGzAAAA2wAAAA8AAAAA&#10;AAAAAQAgAAAAIgAAAGRycy9kb3ducmV2LnhtbFBLAQIUABQAAAAIAIdO4kAzLwWeOwAAADkAAAAQ&#10;AAAAAAAAAAEAIAAAAAIBAABkcnMvc2hhcGV4bWwueG1sUEsFBgAAAAAGAAYAWwEAAKwDAAAAAA==&#10;">
                  <v:fill on="t" focussize="0,0"/>
                  <v:stroke on="f" weight="0.5pt"/>
                  <v:imagedata o:title=""/>
                  <o:lock v:ext="edit" aspectratio="f"/>
                  <v:textbox>
                    <w:txbxContent>
                      <w:p>
                        <w:pPr>
                          <w:spacing w:line="240" w:lineRule="auto"/>
                          <w:ind w:left="0" w:leftChars="0" w:firstLine="0" w:firstLineChars="0"/>
                          <w:rPr>
                            <w:rFonts w:hint="eastAsia" w:eastAsia="宋体"/>
                            <w:lang w:eastAsia="zh-CN"/>
                          </w:rPr>
                        </w:pPr>
                        <w:r>
                          <w:rPr>
                            <w:rFonts w:hint="eastAsia"/>
                            <w:sz w:val="21"/>
                            <w:szCs w:val="21"/>
                            <w:lang w:eastAsia="zh-CN"/>
                          </w:rPr>
                          <w:t>实施方案阶段</w:t>
                        </w:r>
                      </w:p>
                    </w:txbxContent>
                  </v:textbox>
                </v:shape>
                <v:rect id="矩形 189" o:spid="_x0000_s1026" o:spt="1" style="position:absolute;left:6827;top:165485;height:2506;width:8505;v-text-anchor:middle;" filled="f" stroked="t" coordsize="21600,21600" o:gfxdata="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4fJlvQAA&#10;ANsAAAAPAAAAAAAAAAEAIAAAACIAAABkcnMvZG93bnJldi54bWxQSwECFAAUAAAACACHTuJAMy8F&#10;njsAAAA5AAAAEAAAAAAAAAABACAAAAAMAQAAZHJzL3NoYXBleG1sLnhtbFBLBQYAAAAABgAGAFsB&#10;AAC2AwAAAAA=&#10;">
                  <v:fill on="f" focussize="0,0"/>
                  <v:stroke weight="1pt" color="#A5A5A5 [3206]" miterlimit="8" joinstyle="miter"/>
                  <v:imagedata o:title=""/>
                  <o:lock v:ext="edit" aspectratio="f"/>
                </v:rect>
                <v:shape id="文本框 191" o:spid="_x0000_s1026" o:spt="202" type="#_x0000_t202" style="position:absolute;left:5972;top:159495;height:1216;width:719;" fillcolor="#FFFFFF [3201]" filled="t" stroked="f" coordsize="21600,21600" o:gfxdata="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wkBN22AAAA2wAAAA8A&#10;AAAAAAAAAQAgAAAAIgAAAGRycy9kb3ducmV2LnhtbFBLAQIUABQAAAAIAIdO4kAzLwWeOwAAADkA&#10;AAAQAAAAAAAAAAEAIAAAAAUBAABkcnMvc2hhcGV4bWwueG1sUEsFBgAAAAAGAAYAWwEAAK8DAAAA&#10;AA==&#10;">
                  <v:fill on="t" focussize="0,0"/>
                  <v:stroke on="f" weight="0.5pt"/>
                  <v:imagedata o:title=""/>
                  <o:lock v:ext="edit" aspectratio="f"/>
                  <v:textbox>
                    <w:txbxContent>
                      <w:p>
                        <w:pPr>
                          <w:spacing w:line="240" w:lineRule="auto"/>
                          <w:ind w:left="0" w:leftChars="0" w:firstLine="0" w:firstLineChars="0"/>
                          <w:rPr>
                            <w:rFonts w:hint="eastAsia" w:eastAsia="宋体"/>
                            <w:lang w:eastAsia="zh-CN"/>
                          </w:rPr>
                        </w:pPr>
                        <w:r>
                          <w:rPr>
                            <w:rFonts w:hint="eastAsia"/>
                            <w:sz w:val="21"/>
                            <w:szCs w:val="21"/>
                            <w:lang w:eastAsia="zh-CN"/>
                          </w:rPr>
                          <w:t>初步调查阶段</w:t>
                        </w:r>
                      </w:p>
                    </w:txbxContent>
                  </v:textbox>
                </v:shape>
                <v:rect id="矩形 188" o:spid="_x0000_s1026" o:spt="1" style="position:absolute;left:6827;top:163835;height:1651;width:8505;v-text-anchor:middle;" filled="f" stroked="t" coordsize="21600,21600" o:gfxdata="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p/yYm8AAAA&#10;2wAAAA8AAAAAAAAAAQAgAAAAIgAAAGRycy9kb3ducmV2LnhtbFBLAQIUABQAAAAIAIdO4kAzLwWe&#10;OwAAADkAAAAQAAAAAAAAAAEAIAAAAAsBAABkcnMvc2hhcGV4bWwueG1sUEsFBgAAAAAGAAYAWwEA&#10;ALUDAAAAAA==&#10;">
                  <v:fill on="f" focussize="0,0"/>
                  <v:stroke weight="1pt" color="#A5A5A5 [3206]" miterlimit="8" joinstyle="miter"/>
                  <v:imagedata o:title=""/>
                  <o:lock v:ext="edit" aspectratio="f"/>
                </v:rect>
                <v:shape id="文本框 190" o:spid="_x0000_s1026" o:spt="202" type="#_x0000_t202" style="position:absolute;left:5957;top:156675;height:871;width:719;" fillcolor="#FFFFFF [3201]" filled="t" stroked="f" coordsize="21600,21600" o:gfxdata="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yBOTK2AAAA2wAAAA8A&#10;AAAAAAAAAQAgAAAAIgAAAGRycy9kb3ducmV2LnhtbFBLAQIUABQAAAAIAIdO4kAzLwWeOwAAADkA&#10;AAAQAAAAAAAAAAEAIAAAAAUBAABkcnMvc2hhcGV4bWwueG1sUEsFBgAAAAAGAAYAWwEAAK8DAAAA&#10;AA==&#10;">
                  <v:fill on="t" focussize="0,0"/>
                  <v:stroke on="f" weight="0.5pt"/>
                  <v:imagedata o:title=""/>
                  <o:lock v:ext="edit" aspectratio="f"/>
                  <v:textbox>
                    <w:txbxContent>
                      <w:p>
                        <w:pPr>
                          <w:spacing w:line="240" w:lineRule="auto"/>
                          <w:ind w:left="0" w:leftChars="0" w:firstLine="0" w:firstLineChars="0"/>
                          <w:rPr>
                            <w:rFonts w:hint="eastAsia" w:eastAsia="宋体"/>
                            <w:lang w:eastAsia="zh-CN"/>
                          </w:rPr>
                        </w:pPr>
                        <w:r>
                          <w:rPr>
                            <w:rFonts w:hint="eastAsia"/>
                            <w:sz w:val="21"/>
                            <w:szCs w:val="21"/>
                            <w:lang w:eastAsia="zh-CN"/>
                          </w:rPr>
                          <w:t>准备阶段</w:t>
                        </w:r>
                      </w:p>
                    </w:txbxContent>
                  </v:textbox>
                </v:shape>
                <v:shape id="文本框 193" o:spid="_x0000_s1026" o:spt="202" type="#_x0000_t202" style="position:absolute;left:5987;top:164055;height:1216;width:719;" fillcolor="#FFFFFF [3201]" filled="t" stroked="f" coordsize="21600,21600" o:gfxdata="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PNnKm5AAAA2w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spacing w:line="240" w:lineRule="auto"/>
                          <w:ind w:left="0" w:leftChars="0" w:firstLine="0" w:firstLineChars="0"/>
                          <w:rPr>
                            <w:rFonts w:hint="eastAsia" w:eastAsia="宋体"/>
                            <w:lang w:eastAsia="zh-CN"/>
                          </w:rPr>
                        </w:pPr>
                        <w:r>
                          <w:rPr>
                            <w:rFonts w:hint="eastAsia"/>
                            <w:sz w:val="21"/>
                            <w:szCs w:val="21"/>
                            <w:lang w:eastAsia="zh-CN"/>
                          </w:rPr>
                          <w:t>详细调查阶段</w:t>
                        </w:r>
                      </w:p>
                    </w:txbxContent>
                  </v:textbox>
                </v:shape>
                <v:shape id="文本框 194" o:spid="_x0000_s1026" o:spt="202" type="#_x0000_t202" style="position:absolute;left:5987;top:166020;height:1501;width:719;" fillcolor="#FFFFFF [3201]" filled="t" stroked="f" coordsize="21600,21600" o:gfxdata="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MfAt62AAAA2wAAAA8A&#10;AAAAAAAAAQAgAAAAIgAAAGRycy9kb3ducmV2LnhtbFBLAQIUABQAAAAIAIdO4kAzLwWeOwAAADkA&#10;AAAQAAAAAAAAAAEAIAAAAAUBAABkcnMvc2hhcGV4bWwueG1sUEsFBgAAAAAGAAYAWwEAAK8DAAAA&#10;AA==&#10;">
                  <v:fill on="t" focussize="0,0"/>
                  <v:stroke on="f" weight="0.5pt"/>
                  <v:imagedata o:title=""/>
                  <o:lock v:ext="edit" aspectratio="f"/>
                  <v:textbox>
                    <w:txbxContent>
                      <w:p>
                        <w:pPr>
                          <w:spacing w:line="240" w:lineRule="auto"/>
                          <w:ind w:left="0" w:leftChars="0" w:firstLine="0" w:firstLineChars="0"/>
                          <w:rPr>
                            <w:rFonts w:hint="eastAsia" w:eastAsia="宋体"/>
                            <w:lang w:eastAsia="zh-CN"/>
                          </w:rPr>
                        </w:pPr>
                        <w:r>
                          <w:rPr>
                            <w:rFonts w:hint="eastAsia"/>
                            <w:sz w:val="21"/>
                            <w:szCs w:val="21"/>
                            <w:lang w:eastAsia="zh-CN"/>
                          </w:rPr>
                          <w:t>编制调查报告阶段</w:t>
                        </w:r>
                      </w:p>
                    </w:txbxContent>
                  </v:textbox>
                </v:shape>
                <w10:wrap type="topAndBottom"/>
              </v:group>
            </w:pict>
          </mc:Fallback>
        </mc:AlternateContent>
      </w:r>
      <w:r>
        <w:rPr>
          <w:rFonts w:hint="default" w:ascii="Times New Roman" w:hAnsi="Times New Roman" w:eastAsia="宋体" w:cs="Times New Roman"/>
          <w:b/>
          <w:bCs/>
          <w:sz w:val="21"/>
          <w:szCs w:val="21"/>
        </w:rPr>
        <w:t>图1.2-1</w:t>
      </w:r>
      <w:r>
        <w:rPr>
          <w:rFonts w:hint="eastAsia" w:ascii="Times New Roman" w:hAnsi="Times New Roman" w:eastAsia="宋体" w:cs="Times New Roman"/>
          <w:b/>
          <w:bCs/>
          <w:sz w:val="21"/>
          <w:szCs w:val="21"/>
          <w:lang w:val="en-US" w:eastAsia="zh-CN"/>
        </w:rPr>
        <w:t xml:space="preserve"> </w:t>
      </w:r>
      <w:r>
        <w:rPr>
          <w:rFonts w:hint="default" w:ascii="Times New Roman" w:hAnsi="Times New Roman" w:eastAsia="宋体" w:cs="Times New Roman"/>
          <w:b/>
          <w:bCs/>
          <w:sz w:val="21"/>
          <w:szCs w:val="21"/>
        </w:rPr>
        <w:t>本项目竣工环境保护验收调查工作程序</w:t>
      </w:r>
    </w:p>
    <w:p>
      <w:pPr>
        <w:pStyle w:val="2"/>
      </w:pPr>
    </w:p>
    <w:p>
      <w:pPr>
        <w:pStyle w:val="4"/>
        <w:rPr>
          <w:rFonts w:hint="eastAsia"/>
          <w:lang w:val="en-US" w:eastAsia="zh-CN"/>
        </w:rPr>
      </w:pPr>
      <w:bookmarkStart w:id="39" w:name="_Toc9191"/>
      <w:r>
        <w:rPr>
          <w:rFonts w:hint="eastAsia"/>
          <w:lang w:val="en-US" w:eastAsia="zh-CN"/>
        </w:rPr>
        <w:t>1.3 验收调查内容</w:t>
      </w:r>
      <w:bookmarkEnd w:id="39"/>
    </w:p>
    <w:p>
      <w:pPr>
        <w:pStyle w:val="8"/>
        <w:spacing w:line="360" w:lineRule="auto"/>
        <w:ind w:left="0" w:leftChars="0" w:firstLine="0" w:firstLineChars="0"/>
        <w:rPr>
          <w:rFonts w:hint="default" w:ascii="Times New Roman" w:hAnsi="Times New Roman" w:cs="Times New Roman"/>
          <w:b/>
          <w:bCs/>
          <w:sz w:val="24"/>
          <w:szCs w:val="36"/>
        </w:rPr>
      </w:pPr>
      <w:bookmarkStart w:id="40" w:name="_Toc483653484"/>
      <w:bookmarkStart w:id="41" w:name="_Toc450651892"/>
      <w:bookmarkStart w:id="42" w:name="_Toc22899"/>
      <w:bookmarkStart w:id="43" w:name="_Toc32042"/>
      <w:bookmarkStart w:id="44" w:name="_Toc464657296"/>
      <w:bookmarkStart w:id="45" w:name="_Toc174164151"/>
      <w:bookmarkStart w:id="46" w:name="_Toc173806287"/>
      <w:bookmarkStart w:id="47" w:name="_Toc243685568"/>
      <w:bookmarkStart w:id="48" w:name="_Toc174164154"/>
      <w:bookmarkStart w:id="49" w:name="_Toc274376798"/>
      <w:bookmarkStart w:id="50" w:name="_Toc173806290"/>
      <w:r>
        <w:rPr>
          <w:rFonts w:hint="default" w:ascii="Times New Roman" w:hAnsi="Times New Roman" w:cs="Times New Roman"/>
          <w:b/>
          <w:bCs/>
          <w:sz w:val="24"/>
          <w:szCs w:val="36"/>
          <w:lang w:val="en-US" w:eastAsia="zh-CN"/>
        </w:rPr>
        <w:t>1.3.1</w:t>
      </w:r>
      <w:r>
        <w:rPr>
          <w:rFonts w:hint="default" w:ascii="Times New Roman" w:hAnsi="Times New Roman" w:cs="Times New Roman"/>
          <w:b/>
          <w:bCs/>
          <w:sz w:val="24"/>
          <w:szCs w:val="36"/>
        </w:rPr>
        <w:t>调查对象、调查因子及调查范围</w:t>
      </w:r>
      <w:bookmarkEnd w:id="40"/>
      <w:bookmarkEnd w:id="41"/>
      <w:bookmarkEnd w:id="42"/>
      <w:bookmarkEnd w:id="43"/>
      <w:bookmarkEnd w:id="44"/>
    </w:p>
    <w:p>
      <w:pPr>
        <w:pStyle w:val="19"/>
        <w:ind w:firstLine="480"/>
      </w:pPr>
      <w:r>
        <w:t>本次竣工验收调查范围参照项目环境影响报告书的评价内容，结合对项目工程分析和环境影响识别，确定本项目主要的调查对象、调查因子及调查范围，详见表</w:t>
      </w:r>
      <w:r>
        <w:rPr>
          <w:rFonts w:hint="eastAsia"/>
          <w:lang w:val="en-US" w:eastAsia="zh-CN"/>
        </w:rPr>
        <w:t>1.3-1</w:t>
      </w:r>
      <w:r>
        <w:t>。</w:t>
      </w:r>
    </w:p>
    <w:p>
      <w:pPr>
        <w:ind w:firstLine="48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w:t>
      </w:r>
      <w:r>
        <w:rPr>
          <w:rFonts w:hint="eastAsia" w:cs="Times New Roman"/>
          <w:b/>
          <w:bCs/>
          <w:sz w:val="21"/>
          <w:szCs w:val="21"/>
          <w:lang w:val="en-US" w:eastAsia="zh-CN"/>
        </w:rPr>
        <w:t>1.3-1</w:t>
      </w:r>
      <w:r>
        <w:rPr>
          <w:rFonts w:hint="default" w:ascii="Times New Roman" w:hAnsi="Times New Roman" w:eastAsia="宋体" w:cs="Times New Roman"/>
          <w:b/>
          <w:bCs/>
          <w:sz w:val="21"/>
          <w:szCs w:val="21"/>
          <w:lang w:val="en-US" w:eastAsia="zh-CN"/>
        </w:rPr>
        <w:t xml:space="preserve"> </w:t>
      </w:r>
      <w:r>
        <w:rPr>
          <w:rFonts w:hint="default" w:ascii="Times New Roman" w:hAnsi="Times New Roman" w:eastAsia="宋体" w:cs="Times New Roman"/>
          <w:b/>
          <w:bCs/>
          <w:sz w:val="21"/>
          <w:szCs w:val="21"/>
        </w:rPr>
        <w:t>建设项目调查对象、调查因子及调查范围一览表</w:t>
      </w:r>
    </w:p>
    <w:tbl>
      <w:tblPr>
        <w:tblStyle w:val="16"/>
        <w:tblW w:w="8942" w:type="dxa"/>
        <w:jc w:val="center"/>
        <w:tblInd w:w="-1045" w:type="dxa"/>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2192"/>
        <w:gridCol w:w="3156"/>
        <w:gridCol w:w="3594"/>
      </w:tblGrid>
      <w:tr>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2192" w:type="dxa"/>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调查对象</w:t>
            </w:r>
          </w:p>
        </w:tc>
        <w:tc>
          <w:tcPr>
            <w:tcW w:w="3156" w:type="dxa"/>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调查因子</w:t>
            </w:r>
          </w:p>
        </w:tc>
        <w:tc>
          <w:tcPr>
            <w:tcW w:w="3594" w:type="dxa"/>
            <w:tcBorders>
              <w:tl2br w:val="nil"/>
              <w:tr2bl w:val="nil"/>
            </w:tcBorders>
            <w:vAlign w:val="center"/>
          </w:tcPr>
          <w:p>
            <w:pPr>
              <w:spacing w:line="240" w:lineRule="auto"/>
              <w:ind w:firstLine="0" w:firstLineChars="0"/>
              <w:jc w:val="center"/>
              <w:rPr>
                <w:b/>
                <w:bCs/>
                <w:color w:val="auto"/>
                <w:sz w:val="21"/>
                <w:szCs w:val="21"/>
              </w:rPr>
            </w:pPr>
            <w:r>
              <w:rPr>
                <w:b/>
                <w:bCs/>
                <w:color w:val="auto"/>
                <w:sz w:val="21"/>
                <w:szCs w:val="21"/>
              </w:rPr>
              <w:t>调查范围</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2192"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环境空气</w:t>
            </w:r>
          </w:p>
        </w:tc>
        <w:tc>
          <w:tcPr>
            <w:tcW w:w="3156" w:type="dxa"/>
            <w:tcBorders>
              <w:tl2br w:val="nil"/>
              <w:tr2bl w:val="nil"/>
            </w:tcBorders>
            <w:vAlign w:val="center"/>
          </w:tcPr>
          <w:p>
            <w:pPr>
              <w:spacing w:line="240" w:lineRule="auto"/>
              <w:ind w:firstLine="0" w:firstLineChars="0"/>
              <w:jc w:val="both"/>
              <w:rPr>
                <w:rFonts w:hint="eastAsia" w:eastAsia="宋体"/>
                <w:color w:val="auto"/>
                <w:sz w:val="21"/>
                <w:szCs w:val="21"/>
                <w:lang w:eastAsia="zh-CN"/>
              </w:rPr>
            </w:pPr>
            <w:r>
              <w:rPr>
                <w:rFonts w:hint="eastAsia"/>
                <w:color w:val="auto"/>
                <w:sz w:val="21"/>
                <w:szCs w:val="21"/>
                <w:lang w:val="de-DE" w:eastAsia="zh-CN"/>
              </w:rPr>
              <w:t>颗粒物</w:t>
            </w:r>
          </w:p>
        </w:tc>
        <w:tc>
          <w:tcPr>
            <w:tcW w:w="3594" w:type="dxa"/>
            <w:tcBorders>
              <w:tl2br w:val="nil"/>
              <w:tr2bl w:val="nil"/>
            </w:tcBorders>
            <w:vAlign w:val="center"/>
          </w:tcPr>
          <w:p>
            <w:pPr>
              <w:spacing w:line="240" w:lineRule="auto"/>
              <w:ind w:firstLine="0" w:firstLineChars="0"/>
              <w:jc w:val="both"/>
              <w:rPr>
                <w:color w:val="auto"/>
                <w:sz w:val="21"/>
                <w:szCs w:val="21"/>
              </w:rPr>
            </w:pPr>
            <w:r>
              <w:rPr>
                <w:rFonts w:hint="eastAsia"/>
                <w:color w:val="auto"/>
                <w:sz w:val="21"/>
                <w:szCs w:val="21"/>
                <w:lang w:eastAsia="zh-CN"/>
              </w:rPr>
              <w:t>地表作业区</w:t>
            </w:r>
            <w:r>
              <w:rPr>
                <w:rFonts w:hint="eastAsia"/>
                <w:color w:val="auto"/>
                <w:sz w:val="21"/>
                <w:szCs w:val="21"/>
              </w:rPr>
              <w:t>周边</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2192"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地表水</w:t>
            </w:r>
          </w:p>
        </w:tc>
        <w:tc>
          <w:tcPr>
            <w:tcW w:w="3156" w:type="dxa"/>
            <w:tcBorders>
              <w:tl2br w:val="nil"/>
              <w:tr2bl w:val="nil"/>
            </w:tcBorders>
            <w:vAlign w:val="center"/>
          </w:tcPr>
          <w:p>
            <w:pPr>
              <w:spacing w:line="240" w:lineRule="auto"/>
              <w:ind w:firstLine="0" w:firstLineChars="0"/>
              <w:jc w:val="both"/>
              <w:rPr>
                <w:color w:val="auto"/>
                <w:sz w:val="21"/>
                <w:szCs w:val="21"/>
              </w:rPr>
            </w:pPr>
            <w:r>
              <w:rPr>
                <w:color w:val="auto"/>
                <w:sz w:val="21"/>
                <w:szCs w:val="21"/>
                <w:lang w:val="de-DE"/>
              </w:rPr>
              <w:t>p</w:t>
            </w:r>
            <w:r>
              <w:rPr>
                <w:color w:val="auto"/>
                <w:sz w:val="21"/>
                <w:szCs w:val="21"/>
              </w:rPr>
              <w:t>H、COD、</w:t>
            </w:r>
            <w:r>
              <w:rPr>
                <w:rFonts w:hint="eastAsia"/>
                <w:color w:val="auto"/>
                <w:sz w:val="21"/>
                <w:szCs w:val="21"/>
                <w:lang w:eastAsia="zh-CN"/>
              </w:rPr>
              <w:t>氨氮、</w:t>
            </w:r>
            <w:r>
              <w:rPr>
                <w:rFonts w:hint="eastAsia"/>
                <w:color w:val="auto"/>
                <w:sz w:val="21"/>
                <w:szCs w:val="21"/>
                <w:lang w:val="en-US" w:eastAsia="zh-CN"/>
              </w:rPr>
              <w:t>SS、硫化物</w:t>
            </w:r>
            <w:r>
              <w:rPr>
                <w:rFonts w:hint="eastAsia"/>
                <w:color w:val="auto"/>
                <w:sz w:val="21"/>
                <w:szCs w:val="21"/>
              </w:rPr>
              <w:t>、铅、汞、砷</w:t>
            </w:r>
          </w:p>
        </w:tc>
        <w:tc>
          <w:tcPr>
            <w:tcW w:w="3594" w:type="dxa"/>
            <w:tcBorders>
              <w:tl2br w:val="nil"/>
              <w:tr2bl w:val="nil"/>
            </w:tcBorders>
            <w:vAlign w:val="center"/>
          </w:tcPr>
          <w:p>
            <w:pPr>
              <w:spacing w:line="240" w:lineRule="auto"/>
              <w:ind w:firstLine="0" w:firstLineChars="0"/>
              <w:jc w:val="both"/>
              <w:rPr>
                <w:color w:val="auto"/>
                <w:sz w:val="21"/>
                <w:szCs w:val="21"/>
              </w:rPr>
            </w:pPr>
            <w:r>
              <w:rPr>
                <w:rFonts w:hint="eastAsia"/>
                <w:color w:val="auto"/>
                <w:sz w:val="21"/>
                <w:szCs w:val="21"/>
              </w:rPr>
              <w:t>项目厂区废水</w:t>
            </w:r>
            <w:r>
              <w:rPr>
                <w:rFonts w:hint="eastAsia"/>
                <w:color w:val="auto"/>
                <w:sz w:val="21"/>
                <w:szCs w:val="21"/>
                <w:lang w:eastAsia="zh-CN"/>
              </w:rPr>
              <w:t>沉淀池</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2192"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地下水</w:t>
            </w:r>
          </w:p>
        </w:tc>
        <w:tc>
          <w:tcPr>
            <w:tcW w:w="3156" w:type="dxa"/>
            <w:tcBorders>
              <w:tl2br w:val="nil"/>
              <w:tr2bl w:val="nil"/>
            </w:tcBorders>
            <w:vAlign w:val="center"/>
          </w:tcPr>
          <w:p>
            <w:pPr>
              <w:spacing w:line="240" w:lineRule="auto"/>
              <w:ind w:firstLine="0" w:firstLineChars="0"/>
              <w:jc w:val="both"/>
              <w:rPr>
                <w:rFonts w:hint="eastAsia" w:eastAsia="宋体"/>
                <w:color w:val="auto"/>
                <w:sz w:val="21"/>
                <w:szCs w:val="21"/>
                <w:lang w:eastAsia="zh-CN"/>
              </w:rPr>
            </w:pPr>
            <w:r>
              <w:rPr>
                <w:rFonts w:hint="eastAsia"/>
                <w:color w:val="auto"/>
                <w:sz w:val="21"/>
                <w:szCs w:val="21"/>
                <w:lang w:val="en-US" w:eastAsia="zh-CN"/>
              </w:rPr>
              <w:t>pH、高锰酸盐指数、总硬度、氨氮、硫酸盐、氯化物、铅、锌</w:t>
            </w:r>
          </w:p>
        </w:tc>
        <w:tc>
          <w:tcPr>
            <w:tcW w:w="3594" w:type="dxa"/>
            <w:tcBorders>
              <w:tl2br w:val="nil"/>
              <w:tr2bl w:val="nil"/>
            </w:tcBorders>
            <w:vAlign w:val="center"/>
          </w:tcPr>
          <w:p>
            <w:pPr>
              <w:spacing w:line="240" w:lineRule="auto"/>
              <w:ind w:firstLine="0" w:firstLineChars="0"/>
              <w:jc w:val="both"/>
              <w:rPr>
                <w:color w:val="auto"/>
                <w:sz w:val="21"/>
                <w:szCs w:val="21"/>
              </w:rPr>
            </w:pPr>
            <w:r>
              <w:rPr>
                <w:color w:val="auto"/>
                <w:sz w:val="21"/>
                <w:szCs w:val="21"/>
              </w:rPr>
              <w:t>以</w:t>
            </w:r>
            <w:r>
              <w:rPr>
                <w:rFonts w:hint="eastAsia"/>
                <w:color w:val="auto"/>
                <w:sz w:val="21"/>
                <w:szCs w:val="21"/>
                <w:lang w:eastAsia="zh-CN"/>
              </w:rPr>
              <w:t>铅锌矿地表作业区为</w:t>
            </w:r>
            <w:r>
              <w:rPr>
                <w:color w:val="auto"/>
                <w:sz w:val="21"/>
                <w:szCs w:val="21"/>
              </w:rPr>
              <w:t>中心，半径2.5公里的圆形区域</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2192"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噪声</w:t>
            </w:r>
          </w:p>
        </w:tc>
        <w:tc>
          <w:tcPr>
            <w:tcW w:w="3156" w:type="dxa"/>
            <w:tcBorders>
              <w:tl2br w:val="nil"/>
              <w:tr2bl w:val="nil"/>
            </w:tcBorders>
            <w:vAlign w:val="center"/>
          </w:tcPr>
          <w:p>
            <w:pPr>
              <w:spacing w:line="240" w:lineRule="auto"/>
              <w:ind w:firstLine="0" w:firstLineChars="0"/>
              <w:jc w:val="both"/>
              <w:rPr>
                <w:color w:val="auto"/>
                <w:sz w:val="21"/>
                <w:szCs w:val="21"/>
              </w:rPr>
            </w:pPr>
            <w:r>
              <w:rPr>
                <w:color w:val="auto"/>
                <w:sz w:val="21"/>
                <w:szCs w:val="21"/>
              </w:rPr>
              <w:t>L</w:t>
            </w:r>
            <w:r>
              <w:rPr>
                <w:color w:val="auto"/>
                <w:sz w:val="21"/>
                <w:szCs w:val="21"/>
                <w:vertAlign w:val="subscript"/>
              </w:rPr>
              <w:t>eq</w:t>
            </w:r>
            <w:r>
              <w:rPr>
                <w:color w:val="auto"/>
                <w:sz w:val="21"/>
                <w:szCs w:val="21"/>
              </w:rPr>
              <w:t>dB(A)</w:t>
            </w:r>
          </w:p>
        </w:tc>
        <w:tc>
          <w:tcPr>
            <w:tcW w:w="3594" w:type="dxa"/>
            <w:tcBorders>
              <w:tl2br w:val="nil"/>
              <w:tr2bl w:val="nil"/>
            </w:tcBorders>
            <w:vAlign w:val="center"/>
          </w:tcPr>
          <w:p>
            <w:pPr>
              <w:spacing w:line="240" w:lineRule="auto"/>
              <w:ind w:firstLine="0" w:firstLineChars="0"/>
              <w:jc w:val="both"/>
              <w:rPr>
                <w:color w:val="auto"/>
                <w:sz w:val="21"/>
                <w:szCs w:val="21"/>
              </w:rPr>
            </w:pPr>
            <w:r>
              <w:rPr>
                <w:color w:val="auto"/>
                <w:sz w:val="21"/>
                <w:szCs w:val="21"/>
              </w:rPr>
              <w:t>厂界</w:t>
            </w:r>
            <w:r>
              <w:rPr>
                <w:rFonts w:hint="eastAsia"/>
                <w:color w:val="auto"/>
                <w:sz w:val="21"/>
                <w:szCs w:val="21"/>
                <w:lang w:eastAsia="zh-CN"/>
              </w:rPr>
              <w:t>外</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2192"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生态环境</w:t>
            </w:r>
          </w:p>
        </w:tc>
        <w:tc>
          <w:tcPr>
            <w:tcW w:w="3156" w:type="dxa"/>
            <w:tcBorders>
              <w:tl2br w:val="nil"/>
              <w:tr2bl w:val="nil"/>
            </w:tcBorders>
            <w:vAlign w:val="center"/>
          </w:tcPr>
          <w:p>
            <w:pPr>
              <w:spacing w:line="240" w:lineRule="auto"/>
              <w:ind w:firstLine="0" w:firstLineChars="0"/>
              <w:jc w:val="both"/>
              <w:rPr>
                <w:color w:val="auto"/>
                <w:sz w:val="21"/>
                <w:szCs w:val="21"/>
              </w:rPr>
            </w:pPr>
            <w:r>
              <w:rPr>
                <w:color w:val="auto"/>
                <w:sz w:val="21"/>
                <w:szCs w:val="21"/>
              </w:rPr>
              <w:t>调查项目建设对生态环境造成的影响以及保护措施的落实情况</w:t>
            </w:r>
          </w:p>
        </w:tc>
        <w:tc>
          <w:tcPr>
            <w:tcW w:w="3594" w:type="dxa"/>
            <w:tcBorders>
              <w:tl2br w:val="nil"/>
              <w:tr2bl w:val="nil"/>
            </w:tcBorders>
            <w:vAlign w:val="center"/>
          </w:tcPr>
          <w:p>
            <w:pPr>
              <w:spacing w:line="240" w:lineRule="auto"/>
              <w:ind w:firstLine="0" w:firstLineChars="0"/>
              <w:jc w:val="both"/>
              <w:rPr>
                <w:color w:val="auto"/>
                <w:sz w:val="21"/>
                <w:szCs w:val="21"/>
              </w:rPr>
            </w:pPr>
            <w:r>
              <w:rPr>
                <w:rFonts w:hint="eastAsia"/>
                <w:color w:val="auto"/>
                <w:sz w:val="21"/>
                <w:szCs w:val="21"/>
                <w:lang w:eastAsia="zh-CN"/>
              </w:rPr>
              <w:t>地表作业区</w:t>
            </w:r>
            <w:r>
              <w:rPr>
                <w:rFonts w:hint="eastAsia"/>
                <w:color w:val="auto"/>
                <w:sz w:val="21"/>
                <w:szCs w:val="21"/>
              </w:rPr>
              <w:t>周边</w:t>
            </w:r>
            <w:r>
              <w:rPr>
                <w:color w:val="auto"/>
                <w:sz w:val="21"/>
                <w:szCs w:val="21"/>
              </w:rPr>
              <w:t>1000m的范围</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2192" w:type="dxa"/>
            <w:tcBorders>
              <w:tl2br w:val="nil"/>
              <w:tr2bl w:val="nil"/>
            </w:tcBorders>
            <w:vAlign w:val="center"/>
          </w:tcPr>
          <w:p>
            <w:pPr>
              <w:spacing w:line="240" w:lineRule="auto"/>
              <w:ind w:firstLine="0" w:firstLineChars="0"/>
              <w:jc w:val="center"/>
              <w:rPr>
                <w:color w:val="auto"/>
                <w:sz w:val="21"/>
                <w:szCs w:val="21"/>
              </w:rPr>
            </w:pPr>
            <w:r>
              <w:rPr>
                <w:color w:val="auto"/>
                <w:sz w:val="21"/>
                <w:szCs w:val="21"/>
              </w:rPr>
              <w:t>固体废物</w:t>
            </w:r>
          </w:p>
        </w:tc>
        <w:tc>
          <w:tcPr>
            <w:tcW w:w="3156" w:type="dxa"/>
            <w:tcBorders>
              <w:tl2br w:val="nil"/>
              <w:tr2bl w:val="nil"/>
            </w:tcBorders>
            <w:vAlign w:val="center"/>
          </w:tcPr>
          <w:p>
            <w:pPr>
              <w:spacing w:line="240" w:lineRule="auto"/>
              <w:ind w:firstLine="0" w:firstLineChars="0"/>
              <w:jc w:val="both"/>
              <w:rPr>
                <w:color w:val="auto"/>
                <w:sz w:val="21"/>
                <w:szCs w:val="21"/>
              </w:rPr>
            </w:pPr>
            <w:r>
              <w:rPr>
                <w:rFonts w:hint="eastAsia"/>
                <w:color w:val="auto"/>
                <w:sz w:val="21"/>
                <w:szCs w:val="21"/>
                <w:lang w:eastAsia="zh-CN"/>
              </w:rPr>
              <w:t>矿石</w:t>
            </w:r>
            <w:r>
              <w:rPr>
                <w:color w:val="auto"/>
                <w:sz w:val="21"/>
                <w:szCs w:val="21"/>
              </w:rPr>
              <w:t>的处理与处置</w:t>
            </w:r>
          </w:p>
        </w:tc>
        <w:tc>
          <w:tcPr>
            <w:tcW w:w="3594" w:type="dxa"/>
            <w:tcBorders>
              <w:tl2br w:val="nil"/>
              <w:tr2bl w:val="nil"/>
            </w:tcBorders>
            <w:vAlign w:val="center"/>
          </w:tcPr>
          <w:p>
            <w:pPr>
              <w:spacing w:line="240" w:lineRule="auto"/>
              <w:ind w:firstLine="0" w:firstLineChars="0"/>
              <w:jc w:val="both"/>
              <w:rPr>
                <w:color w:val="auto"/>
                <w:sz w:val="21"/>
                <w:szCs w:val="21"/>
              </w:rPr>
            </w:pPr>
            <w:r>
              <w:rPr>
                <w:color w:val="auto"/>
                <w:sz w:val="21"/>
                <w:szCs w:val="21"/>
              </w:rPr>
              <w:t>矿区范围内</w:t>
            </w:r>
          </w:p>
        </w:tc>
      </w:tr>
    </w:tbl>
    <w:p>
      <w:pPr>
        <w:pStyle w:val="8"/>
        <w:spacing w:line="360" w:lineRule="auto"/>
        <w:ind w:left="0" w:leftChars="0" w:firstLine="0" w:firstLineChars="0"/>
        <w:rPr>
          <w:rFonts w:hint="eastAsia" w:ascii="Times New Roman" w:hAnsi="Times New Roman" w:eastAsia="宋体" w:cs="Times New Roman"/>
          <w:b/>
          <w:bCs/>
          <w:sz w:val="24"/>
          <w:szCs w:val="36"/>
          <w:lang w:eastAsia="zh-CN"/>
        </w:rPr>
      </w:pPr>
      <w:bookmarkStart w:id="51" w:name="_Toc464657297"/>
      <w:bookmarkStart w:id="52" w:name="_Toc24155"/>
      <w:bookmarkStart w:id="53" w:name="_Toc450651893"/>
      <w:bookmarkStart w:id="54" w:name="_Toc483653485"/>
      <w:bookmarkStart w:id="55" w:name="_Toc32500"/>
      <w:r>
        <w:rPr>
          <w:rFonts w:hint="default" w:ascii="Times New Roman" w:hAnsi="Times New Roman" w:cs="Times New Roman"/>
          <w:b/>
          <w:bCs/>
          <w:sz w:val="24"/>
          <w:szCs w:val="36"/>
          <w:lang w:val="en-US" w:eastAsia="zh-CN"/>
        </w:rPr>
        <w:t>1.3.</w:t>
      </w:r>
      <w:r>
        <w:rPr>
          <w:rFonts w:hint="eastAsia" w:ascii="Times New Roman" w:hAnsi="Times New Roman" w:cs="Times New Roman"/>
          <w:b/>
          <w:bCs/>
          <w:sz w:val="24"/>
          <w:szCs w:val="36"/>
          <w:lang w:val="en-US" w:eastAsia="zh-CN"/>
        </w:rPr>
        <w:t>2</w:t>
      </w:r>
      <w:r>
        <w:rPr>
          <w:rFonts w:hint="default" w:ascii="Times New Roman" w:hAnsi="Times New Roman" w:cs="Times New Roman"/>
          <w:b/>
          <w:bCs/>
          <w:sz w:val="24"/>
          <w:szCs w:val="36"/>
        </w:rPr>
        <w:t>调查</w:t>
      </w:r>
      <w:r>
        <w:rPr>
          <w:rFonts w:hint="eastAsia" w:ascii="Times New Roman" w:hAnsi="Times New Roman" w:cs="Times New Roman"/>
          <w:b/>
          <w:bCs/>
          <w:sz w:val="24"/>
          <w:szCs w:val="36"/>
          <w:lang w:eastAsia="zh-CN"/>
        </w:rPr>
        <w:t>执行标准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color w:val="auto"/>
        </w:rPr>
      </w:pPr>
      <w:r>
        <w:rPr>
          <w:rFonts w:hint="eastAsia" w:ascii="Times New Roman" w:hAnsi="Times New Roman"/>
        </w:rPr>
        <w:t>本次验收调查原则上采用该工程环境影响评价时所采用的标准，对已修订的标准则采用替代后的新标准进行校核。环境影响评价时执行的标准按照</w:t>
      </w:r>
      <w:r>
        <w:rPr>
          <w:rFonts w:hint="eastAsia" w:ascii="Times New Roman" w:hAnsi="Times New Roman"/>
          <w:lang w:eastAsia="zh-CN"/>
        </w:rPr>
        <w:t>池州</w:t>
      </w:r>
      <w:r>
        <w:rPr>
          <w:rFonts w:hint="eastAsia" w:ascii="Times New Roman" w:hAnsi="Times New Roman"/>
        </w:rPr>
        <w:t>市环保局</w:t>
      </w:r>
      <w:r>
        <w:rPr>
          <w:rFonts w:hint="eastAsia" w:ascii="Times New Roman" w:hAnsi="Times New Roman"/>
          <w:lang w:eastAsia="zh-CN"/>
        </w:rPr>
        <w:t>池环然</w:t>
      </w:r>
      <w:r>
        <w:rPr>
          <w:rFonts w:ascii="Times New Roman" w:hAnsi="Times New Roman"/>
        </w:rPr>
        <w:t>[201</w:t>
      </w:r>
      <w:r>
        <w:rPr>
          <w:rFonts w:hint="eastAsia" w:ascii="Times New Roman" w:hAnsi="Times New Roman"/>
          <w:lang w:val="en-US" w:eastAsia="zh-CN"/>
        </w:rPr>
        <w:t>1</w:t>
      </w:r>
      <w:r>
        <w:rPr>
          <w:rFonts w:ascii="Times New Roman" w:hAnsi="Times New Roman"/>
        </w:rPr>
        <w:t>]</w:t>
      </w:r>
      <w:r>
        <w:rPr>
          <w:rFonts w:hint="eastAsia" w:ascii="Times New Roman" w:hAnsi="Times New Roman"/>
          <w:lang w:val="en-US" w:eastAsia="zh-CN"/>
        </w:rPr>
        <w:t>02</w:t>
      </w:r>
      <w:r>
        <w:rPr>
          <w:rFonts w:hint="eastAsia" w:ascii="Times New Roman" w:hAnsi="Times New Roman"/>
        </w:rPr>
        <w:t>号文《关于</w:t>
      </w:r>
      <w:r>
        <w:rPr>
          <w:rFonts w:hint="eastAsia" w:ascii="宋体" w:hAnsi="宋体" w:eastAsia="宋体" w:cs="宋体"/>
          <w:lang w:val="en-US" w:eastAsia="zh-CN"/>
        </w:rPr>
        <w:t>&lt;</w:t>
      </w:r>
      <w:r>
        <w:rPr>
          <w:rFonts w:hint="default" w:ascii="Times New Roman" w:hAnsi="Times New Roman" w:eastAsia="宋体" w:cs="Times New Roman"/>
          <w:b w:val="0"/>
          <w:bCs/>
          <w:color w:val="auto"/>
          <w:sz w:val="24"/>
          <w:szCs w:val="24"/>
        </w:rPr>
        <w:t>池州市贵池区姚街铅锌矿年产2万吨铅锌矿石原矿采矿技改整合扩建工程项目环境影响报告</w:t>
      </w:r>
      <w:r>
        <w:rPr>
          <w:rFonts w:hint="default" w:ascii="Times New Roman" w:hAnsi="Times New Roman" w:eastAsia="宋体" w:cs="Times New Roman"/>
          <w:b w:val="0"/>
          <w:bCs/>
          <w:color w:val="auto"/>
          <w:sz w:val="24"/>
          <w:szCs w:val="24"/>
          <w:lang w:eastAsia="zh-CN"/>
        </w:rPr>
        <w:t>书</w:t>
      </w:r>
      <w:r>
        <w:rPr>
          <w:rFonts w:hint="eastAsia" w:ascii="宋体" w:hAnsi="宋体" w:eastAsia="宋体" w:cs="宋体"/>
          <w:bCs/>
          <w:color w:val="auto"/>
          <w:sz w:val="24"/>
          <w:lang w:val="en-US" w:eastAsia="zh-CN"/>
        </w:rPr>
        <w:t>&gt;拟执行评价标准的确认函</w:t>
      </w:r>
      <w:r>
        <w:rPr>
          <w:rFonts w:hint="eastAsia" w:ascii="Times New Roman" w:hAnsi="Times New Roman"/>
        </w:rPr>
        <w:t>》批复的要求执行的，本次调查涉及的标准如下：</w:t>
      </w:r>
    </w:p>
    <w:p>
      <w:pPr>
        <w:ind w:firstLine="480" w:firstLineChars="200"/>
      </w:pPr>
      <w:bookmarkStart w:id="56" w:name="_Toc466475802"/>
      <w:bookmarkEnd w:id="56"/>
      <w:bookmarkStart w:id="57" w:name="_Toc466554942"/>
      <w:bookmarkEnd w:id="57"/>
      <w:bookmarkStart w:id="58" w:name="_Toc466555101"/>
      <w:bookmarkEnd w:id="58"/>
      <w:bookmarkStart w:id="59" w:name="_Toc419232384"/>
      <w:bookmarkEnd w:id="59"/>
      <w:bookmarkStart w:id="60" w:name="_Toc16931"/>
      <w:bookmarkStart w:id="61" w:name="_Toc16210"/>
      <w:bookmarkStart w:id="62" w:name="_Toc17025"/>
      <w:bookmarkStart w:id="63" w:name="_Toc8981"/>
      <w:bookmarkStart w:id="64" w:name="_Toc24598"/>
      <w:bookmarkStart w:id="65" w:name="_Toc29564"/>
      <w:bookmarkStart w:id="66" w:name="_Toc24573"/>
      <w:bookmarkStart w:id="67" w:name="_Toc22581"/>
      <w:bookmarkStart w:id="68" w:name="_Toc1835"/>
      <w:bookmarkStart w:id="69" w:name="_Toc6436"/>
      <w:bookmarkStart w:id="70" w:name="_Toc31719"/>
      <w:r>
        <w:rPr>
          <w:rFonts w:hint="eastAsia"/>
          <w:lang w:val="en-US" w:eastAsia="zh-CN"/>
        </w:rPr>
        <w:t>（1）</w:t>
      </w:r>
      <w:r>
        <w:t>废</w:t>
      </w:r>
      <w:r>
        <w:rPr>
          <w:rFonts w:hint="eastAsia"/>
          <w:lang w:eastAsia="zh-CN"/>
        </w:rPr>
        <w:t>水</w:t>
      </w:r>
      <w:r>
        <w:t>执行标准</w:t>
      </w:r>
      <w:bookmarkEnd w:id="60"/>
      <w:bookmarkEnd w:id="61"/>
      <w:bookmarkEnd w:id="62"/>
      <w:bookmarkEnd w:id="63"/>
      <w:bookmarkEnd w:id="64"/>
      <w:bookmarkEnd w:id="65"/>
      <w:bookmarkEnd w:id="66"/>
      <w:bookmarkEnd w:id="67"/>
      <w:bookmarkEnd w:id="68"/>
      <w:bookmarkEnd w:id="69"/>
      <w:bookmarkEnd w:id="70"/>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auto"/>
          <w:lang w:val="en-US" w:eastAsia="zh-CN"/>
        </w:rPr>
      </w:pPr>
      <w:r>
        <w:rPr>
          <w:rFonts w:hint="eastAsia"/>
          <w:color w:val="auto"/>
          <w:lang w:val="en-US" w:eastAsia="zh-CN"/>
        </w:rPr>
        <w:t>本项目不产生废水，项目矿井涌水、矿石淋溶水配套建设收集池，处理后的废水用于矿井生产，不外排。本部分废水执行《铅、锌工业污染物排放标准》（GB25466-2010）中表2标准，具体其标准值见表1.3-2。</w:t>
      </w:r>
    </w:p>
    <w:p>
      <w:pPr>
        <w:spacing w:line="360" w:lineRule="auto"/>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w:t>
      </w:r>
      <w:r>
        <w:rPr>
          <w:rFonts w:hint="eastAsia" w:cs="Times New Roman"/>
          <w:b/>
          <w:bCs/>
          <w:color w:val="auto"/>
          <w:sz w:val="21"/>
          <w:szCs w:val="21"/>
          <w:lang w:val="en-US" w:eastAsia="zh-CN"/>
        </w:rPr>
        <w:t>1</w:t>
      </w:r>
      <w:r>
        <w:rPr>
          <w:rFonts w:hint="default" w:ascii="Times New Roman" w:hAnsi="Times New Roman" w:eastAsia="宋体" w:cs="Times New Roman"/>
          <w:b/>
          <w:bCs/>
          <w:color w:val="auto"/>
          <w:sz w:val="21"/>
          <w:szCs w:val="21"/>
          <w:lang w:val="en-US" w:eastAsia="zh-CN"/>
        </w:rPr>
        <w:t>.</w:t>
      </w:r>
      <w:r>
        <w:rPr>
          <w:rFonts w:hint="eastAsia" w:cs="Times New Roman"/>
          <w:b/>
          <w:bCs/>
          <w:color w:val="auto"/>
          <w:sz w:val="21"/>
          <w:szCs w:val="21"/>
          <w:lang w:val="en-US" w:eastAsia="zh-CN"/>
        </w:rPr>
        <w:t>3</w:t>
      </w:r>
      <w:r>
        <w:rPr>
          <w:rFonts w:hint="default" w:ascii="Times New Roman" w:hAnsi="Times New Roman" w:eastAsia="宋体" w:cs="Times New Roman"/>
          <w:b/>
          <w:bCs/>
          <w:color w:val="auto"/>
          <w:sz w:val="21"/>
          <w:szCs w:val="21"/>
          <w:lang w:val="en-US" w:eastAsia="zh-CN"/>
        </w:rPr>
        <w:t>-</w:t>
      </w:r>
      <w:r>
        <w:rPr>
          <w:rFonts w:hint="eastAsia" w:cs="Times New Roman"/>
          <w:b/>
          <w:bCs/>
          <w:color w:val="auto"/>
          <w:sz w:val="21"/>
          <w:szCs w:val="21"/>
          <w:lang w:val="en-US" w:eastAsia="zh-CN"/>
        </w:rPr>
        <w:t>2</w:t>
      </w:r>
      <w:r>
        <w:rPr>
          <w:rFonts w:hint="default" w:ascii="Times New Roman" w:hAnsi="Times New Roman" w:eastAsia="宋体" w:cs="Times New Roman"/>
          <w:b/>
          <w:bCs/>
          <w:color w:val="auto"/>
          <w:sz w:val="21"/>
          <w:szCs w:val="21"/>
          <w:lang w:val="en-US" w:eastAsia="zh-CN"/>
        </w:rPr>
        <w:t xml:space="preserve"> 铅、锌工业污染物排放标准  （单位mg/L，pH</w:t>
      </w:r>
      <w:r>
        <w:rPr>
          <w:rFonts w:hint="eastAsia" w:ascii="Times New Roman" w:hAnsi="Times New Roman" w:eastAsia="宋体" w:cs="Times New Roman"/>
          <w:b/>
          <w:bCs/>
          <w:color w:val="auto"/>
          <w:sz w:val="21"/>
          <w:szCs w:val="21"/>
          <w:lang w:val="en-US" w:eastAsia="zh-CN"/>
        </w:rPr>
        <w:t>无量纲</w:t>
      </w:r>
      <w:r>
        <w:rPr>
          <w:rFonts w:hint="default" w:ascii="Times New Roman" w:hAnsi="Times New Roman" w:eastAsia="宋体" w:cs="Times New Roman"/>
          <w:b/>
          <w:bCs/>
          <w:color w:val="auto"/>
          <w:sz w:val="21"/>
          <w:szCs w:val="21"/>
          <w:lang w:val="en-US" w:eastAsia="zh-CN"/>
        </w:rPr>
        <w:t>）</w:t>
      </w:r>
    </w:p>
    <w:tbl>
      <w:tblPr>
        <w:tblStyle w:val="17"/>
        <w:tblW w:w="8580"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0"/>
        <w:gridCol w:w="850"/>
        <w:gridCol w:w="850"/>
        <w:gridCol w:w="850"/>
        <w:gridCol w:w="850"/>
        <w:gridCol w:w="850"/>
        <w:gridCol w:w="850"/>
        <w:gridCol w:w="850"/>
        <w:gridCol w:w="85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4" w:hRule="atLeast"/>
        </w:trPr>
        <w:tc>
          <w:tcPr>
            <w:tcW w:w="178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lang w:val="en-US" w:eastAsia="zh-CN"/>
              </w:rPr>
              <w:t>执行标准</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pH</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悬浮物</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总锌</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硫化物</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总铅</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总砷</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COD</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氨氮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78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GB 25466-2010</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6~9</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50</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0.5</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r>
              <w:rPr>
                <w:rFonts w:hint="eastAsia" w:cs="Times New Roman"/>
                <w:color w:val="auto"/>
                <w:sz w:val="21"/>
                <w:szCs w:val="21"/>
                <w:vertAlign w:val="baseline"/>
                <w:lang w:val="en-US" w:eastAsia="zh-CN"/>
              </w:rPr>
              <w:t>3</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60</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w:t>
            </w:r>
          </w:p>
        </w:tc>
      </w:tr>
    </w:tbl>
    <w:p>
      <w:pPr>
        <w:ind w:firstLine="480" w:firstLineChars="200"/>
        <w:rPr>
          <w:rFonts w:hint="eastAsia"/>
          <w:lang w:val="en-US" w:eastAsia="zh-CN"/>
        </w:rPr>
      </w:pPr>
      <w:bookmarkStart w:id="71" w:name="_Toc3425"/>
      <w:bookmarkStart w:id="72" w:name="_Toc16156"/>
      <w:bookmarkStart w:id="73" w:name="_Toc16807"/>
      <w:bookmarkStart w:id="74" w:name="_Toc8752"/>
      <w:bookmarkStart w:id="75" w:name="_Toc8712"/>
      <w:bookmarkStart w:id="76" w:name="_Toc2398"/>
      <w:bookmarkStart w:id="77" w:name="_Toc10675"/>
      <w:bookmarkStart w:id="78" w:name="_Toc17941"/>
      <w:bookmarkStart w:id="79" w:name="_Toc14219"/>
      <w:bookmarkStart w:id="80" w:name="_Toc32309"/>
      <w:r>
        <w:rPr>
          <w:rFonts w:hint="eastAsia"/>
          <w:lang w:val="en-US" w:eastAsia="zh-CN"/>
        </w:rPr>
        <w:t>（2）废气执行标准</w:t>
      </w:r>
      <w:bookmarkEnd w:id="71"/>
      <w:bookmarkEnd w:id="7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b/>
          <w:bCs/>
          <w:color w:val="auto"/>
          <w:sz w:val="21"/>
          <w:szCs w:val="21"/>
          <w:lang w:val="en-US" w:eastAsia="zh-CN"/>
        </w:rPr>
      </w:pPr>
      <w:r>
        <w:rPr>
          <w:rFonts w:hint="eastAsia"/>
          <w:color w:val="auto"/>
          <w:lang w:eastAsia="zh-CN"/>
        </w:rPr>
        <w:t>本</w:t>
      </w:r>
      <w:r>
        <w:rPr>
          <w:color w:val="auto"/>
        </w:rPr>
        <w:t>项目生产工艺中大气污染物排放执行</w:t>
      </w:r>
      <w:r>
        <w:rPr>
          <w:rFonts w:hint="eastAsia" w:ascii="Times New Roman" w:hAnsi="Times New Roman" w:cs="Times New Roman"/>
          <w:b w:val="0"/>
          <w:bCs w:val="0"/>
          <w:sz w:val="24"/>
          <w:szCs w:val="24"/>
          <w:lang w:val="en-US" w:eastAsia="zh-CN"/>
        </w:rPr>
        <w:t>《铅、锌工业污染物排放标准》（GB25466-2010）表6限值要求</w:t>
      </w:r>
      <w:r>
        <w:rPr>
          <w:color w:val="auto"/>
        </w:rPr>
        <w:t>，具体标准值</w:t>
      </w:r>
      <w:r>
        <w:rPr>
          <w:rFonts w:hint="eastAsia"/>
          <w:color w:val="auto"/>
          <w:lang w:eastAsia="zh-CN"/>
        </w:rPr>
        <w:t>见表</w:t>
      </w:r>
      <w:r>
        <w:rPr>
          <w:rFonts w:hint="eastAsia"/>
          <w:color w:val="auto"/>
          <w:lang w:val="en-US" w:eastAsia="zh-CN"/>
        </w:rPr>
        <w:t>1.3-3。</w:t>
      </w:r>
    </w:p>
    <w:p>
      <w:pPr>
        <w:spacing w:line="360" w:lineRule="auto"/>
        <w:ind w:left="0" w:leftChars="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val="en-US" w:eastAsia="zh-CN"/>
        </w:rPr>
        <w:t>表</w:t>
      </w:r>
      <w:r>
        <w:rPr>
          <w:rFonts w:hint="eastAsia" w:cs="Times New Roman"/>
          <w:b/>
          <w:bCs/>
          <w:color w:val="auto"/>
          <w:sz w:val="21"/>
          <w:szCs w:val="21"/>
          <w:lang w:val="en-US" w:eastAsia="zh-CN"/>
        </w:rPr>
        <w:t>1.3-3</w:t>
      </w:r>
      <w:r>
        <w:rPr>
          <w:rFonts w:hint="default" w:ascii="Times New Roman" w:hAnsi="Times New Roman" w:cs="Times New Roman"/>
          <w:b/>
          <w:bCs/>
          <w:color w:val="auto"/>
          <w:sz w:val="21"/>
          <w:szCs w:val="21"/>
        </w:rPr>
        <w:t xml:space="preserve"> 大气污染物最高允许排放浓度</w:t>
      </w:r>
    </w:p>
    <w:tbl>
      <w:tblPr>
        <w:tblStyle w:val="16"/>
        <w:tblW w:w="8514" w:type="dxa"/>
        <w:jc w:val="center"/>
        <w:tblInd w:w="-93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62"/>
        <w:gridCol w:w="3126"/>
        <w:gridCol w:w="3026"/>
      </w:tblGrid>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06" w:hRule="atLeast"/>
          <w:tblHeader/>
          <w:jc w:val="center"/>
        </w:trPr>
        <w:tc>
          <w:tcPr>
            <w:tcW w:w="2362" w:type="dxa"/>
            <w:vMerge w:val="restart"/>
            <w:tcBorders>
              <w:tl2br w:val="nil"/>
              <w:tr2bl w:val="nil"/>
            </w:tcBorders>
            <w:vAlign w:val="center"/>
          </w:tcPr>
          <w:p>
            <w:pPr>
              <w:pStyle w:val="21"/>
              <w:keepNext w:val="0"/>
              <w:keepLines w:val="0"/>
              <w:suppressLineNumbers w:val="0"/>
              <w:spacing w:before="0" w:beforeAutospacing="0" w:after="0" w:afterAutospacing="0" w:line="240" w:lineRule="auto"/>
              <w:ind w:left="0" w:right="0"/>
              <w:rPr>
                <w:rFonts w:hint="default"/>
                <w:b/>
                <w:bCs/>
                <w:color w:val="auto"/>
                <w:sz w:val="21"/>
                <w:szCs w:val="21"/>
              </w:rPr>
            </w:pPr>
            <w:r>
              <w:rPr>
                <w:rFonts w:hint="default"/>
                <w:b/>
                <w:bCs/>
                <w:color w:val="auto"/>
                <w:sz w:val="21"/>
                <w:szCs w:val="21"/>
              </w:rPr>
              <w:t>污染物</w:t>
            </w:r>
          </w:p>
        </w:tc>
        <w:tc>
          <w:tcPr>
            <w:tcW w:w="3126" w:type="dxa"/>
            <w:tcBorders>
              <w:tl2br w:val="nil"/>
              <w:tr2bl w:val="nil"/>
            </w:tcBorders>
            <w:vAlign w:val="center"/>
          </w:tcPr>
          <w:p>
            <w:pPr>
              <w:pStyle w:val="21"/>
              <w:keepNext w:val="0"/>
              <w:keepLines w:val="0"/>
              <w:suppressLineNumbers w:val="0"/>
              <w:spacing w:before="0" w:beforeAutospacing="0" w:after="0" w:afterAutospacing="0" w:line="240" w:lineRule="auto"/>
              <w:ind w:left="0" w:right="0"/>
              <w:rPr>
                <w:rFonts w:hint="default"/>
                <w:b/>
                <w:bCs/>
                <w:color w:val="auto"/>
                <w:sz w:val="21"/>
                <w:szCs w:val="21"/>
              </w:rPr>
            </w:pPr>
            <w:r>
              <w:rPr>
                <w:rFonts w:hint="default"/>
                <w:b/>
                <w:bCs/>
                <w:color w:val="auto"/>
                <w:sz w:val="21"/>
                <w:szCs w:val="21"/>
              </w:rPr>
              <w:t>排放浓度限值(mg/m</w:t>
            </w:r>
            <w:r>
              <w:rPr>
                <w:rFonts w:hint="default"/>
                <w:b/>
                <w:bCs/>
                <w:color w:val="auto"/>
                <w:sz w:val="21"/>
                <w:szCs w:val="21"/>
                <w:vertAlign w:val="superscript"/>
              </w:rPr>
              <w:t>3</w:t>
            </w:r>
            <w:r>
              <w:rPr>
                <w:rFonts w:hint="default"/>
                <w:b/>
                <w:bCs/>
                <w:color w:val="auto"/>
                <w:sz w:val="21"/>
                <w:szCs w:val="21"/>
              </w:rPr>
              <w:t>)</w:t>
            </w:r>
          </w:p>
        </w:tc>
        <w:tc>
          <w:tcPr>
            <w:tcW w:w="3026" w:type="dxa"/>
            <w:vMerge w:val="restart"/>
            <w:tcBorders>
              <w:tl2br w:val="nil"/>
              <w:tr2bl w:val="nil"/>
            </w:tcBorders>
            <w:vAlign w:val="center"/>
          </w:tcPr>
          <w:p>
            <w:pPr>
              <w:pStyle w:val="21"/>
              <w:keepNext w:val="0"/>
              <w:keepLines w:val="0"/>
              <w:suppressLineNumbers w:val="0"/>
              <w:spacing w:before="0" w:beforeAutospacing="0" w:after="0" w:afterAutospacing="0" w:line="240" w:lineRule="auto"/>
              <w:ind w:left="0" w:right="0"/>
              <w:rPr>
                <w:rFonts w:hint="default"/>
                <w:b/>
                <w:bCs/>
                <w:color w:val="auto"/>
                <w:sz w:val="21"/>
                <w:szCs w:val="21"/>
              </w:rPr>
            </w:pPr>
            <w:r>
              <w:rPr>
                <w:rFonts w:hint="default"/>
                <w:b/>
                <w:bCs/>
                <w:color w:val="auto"/>
                <w:sz w:val="21"/>
                <w:szCs w:val="21"/>
              </w:rPr>
              <w:t>标准</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154" w:hRule="atLeast"/>
          <w:jc w:val="center"/>
        </w:trPr>
        <w:tc>
          <w:tcPr>
            <w:tcW w:w="2362" w:type="dxa"/>
            <w:vMerge w:val="continue"/>
            <w:tcBorders>
              <w:tl2br w:val="nil"/>
              <w:tr2bl w:val="nil"/>
            </w:tcBorders>
            <w:vAlign w:val="center"/>
          </w:tcPr>
          <w:p>
            <w:pPr>
              <w:pStyle w:val="21"/>
              <w:keepNext w:val="0"/>
              <w:keepLines w:val="0"/>
              <w:suppressLineNumbers w:val="0"/>
              <w:spacing w:before="0" w:beforeAutospacing="0" w:after="0" w:afterAutospacing="0" w:line="240" w:lineRule="auto"/>
              <w:ind w:left="0" w:right="0"/>
              <w:rPr>
                <w:rFonts w:hint="default"/>
                <w:color w:val="auto"/>
                <w:sz w:val="21"/>
                <w:szCs w:val="21"/>
              </w:rPr>
            </w:pPr>
          </w:p>
        </w:tc>
        <w:tc>
          <w:tcPr>
            <w:tcW w:w="3126" w:type="dxa"/>
            <w:tcBorders>
              <w:tl2br w:val="nil"/>
              <w:tr2bl w:val="nil"/>
            </w:tcBorders>
            <w:vAlign w:val="center"/>
          </w:tcPr>
          <w:p>
            <w:pPr>
              <w:pStyle w:val="21"/>
              <w:keepNext w:val="0"/>
              <w:keepLines w:val="0"/>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无组织排放监控</w:t>
            </w:r>
          </w:p>
        </w:tc>
        <w:tc>
          <w:tcPr>
            <w:tcW w:w="3026" w:type="dxa"/>
            <w:vMerge w:val="continue"/>
            <w:tcBorders>
              <w:tl2br w:val="nil"/>
              <w:tr2bl w:val="nil"/>
            </w:tcBorders>
            <w:vAlign w:val="center"/>
          </w:tcPr>
          <w:p>
            <w:pPr>
              <w:pStyle w:val="21"/>
              <w:keepNext w:val="0"/>
              <w:keepLines w:val="0"/>
              <w:suppressLineNumbers w:val="0"/>
              <w:spacing w:before="0" w:beforeAutospacing="0" w:after="0" w:afterAutospacing="0" w:line="240" w:lineRule="auto"/>
              <w:ind w:left="0" w:right="0"/>
              <w:rPr>
                <w:rFonts w:hint="default"/>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421" w:hRule="atLeast"/>
          <w:jc w:val="center"/>
        </w:trPr>
        <w:tc>
          <w:tcPr>
            <w:tcW w:w="2362" w:type="dxa"/>
            <w:tcBorders>
              <w:tl2br w:val="nil"/>
              <w:tr2bl w:val="nil"/>
            </w:tcBorders>
            <w:vAlign w:val="center"/>
          </w:tcPr>
          <w:p>
            <w:pPr>
              <w:pStyle w:val="21"/>
              <w:keepNext w:val="0"/>
              <w:keepLines w:val="0"/>
              <w:suppressLineNumbers w:val="0"/>
              <w:spacing w:before="0" w:beforeAutospacing="0" w:after="0" w:afterAutospacing="0" w:line="240" w:lineRule="auto"/>
              <w:ind w:left="0" w:right="0"/>
              <w:rPr>
                <w:rFonts w:hint="eastAsia" w:eastAsia="宋体"/>
                <w:color w:val="auto"/>
                <w:sz w:val="21"/>
                <w:szCs w:val="21"/>
                <w:lang w:eastAsia="zh-CN"/>
              </w:rPr>
            </w:pPr>
            <w:r>
              <w:rPr>
                <w:rFonts w:hint="eastAsia"/>
                <w:color w:val="auto"/>
                <w:sz w:val="21"/>
                <w:szCs w:val="21"/>
                <w:lang w:eastAsia="zh-CN"/>
              </w:rPr>
              <w:t>颗粒物</w:t>
            </w:r>
          </w:p>
        </w:tc>
        <w:tc>
          <w:tcPr>
            <w:tcW w:w="3126" w:type="dxa"/>
            <w:tcBorders>
              <w:tl2br w:val="nil"/>
              <w:tr2bl w:val="nil"/>
            </w:tcBorders>
            <w:vAlign w:val="center"/>
          </w:tcPr>
          <w:p>
            <w:pPr>
              <w:pStyle w:val="21"/>
              <w:keepNext w:val="0"/>
              <w:keepLines w:val="0"/>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1.0</w:t>
            </w:r>
          </w:p>
        </w:tc>
        <w:tc>
          <w:tcPr>
            <w:tcW w:w="3026" w:type="dxa"/>
            <w:tcBorders>
              <w:tl2br w:val="nil"/>
              <w:tr2bl w:val="nil"/>
            </w:tcBorders>
            <w:vAlign w:val="center"/>
          </w:tcPr>
          <w:p>
            <w:pPr>
              <w:pStyle w:val="21"/>
              <w:keepNext w:val="0"/>
              <w:keepLines w:val="0"/>
              <w:suppressLineNumbers w:val="0"/>
              <w:spacing w:before="0" w:beforeAutospacing="0" w:after="0" w:afterAutospacing="0" w:line="240" w:lineRule="auto"/>
              <w:ind w:left="0" w:right="0"/>
              <w:rPr>
                <w:rFonts w:hint="default"/>
                <w:color w:val="auto"/>
                <w:sz w:val="21"/>
                <w:szCs w:val="21"/>
              </w:rPr>
            </w:pPr>
            <w:r>
              <w:rPr>
                <w:rFonts w:hint="eastAsia" w:ascii="Times New Roman" w:hAnsi="Times New Roman" w:cs="Times New Roman"/>
                <w:b w:val="0"/>
                <w:bCs w:val="0"/>
                <w:sz w:val="24"/>
                <w:szCs w:val="24"/>
                <w:lang w:val="en-US" w:eastAsia="zh-CN"/>
              </w:rPr>
              <w:t>GB25466-2010</w:t>
            </w:r>
            <w:r>
              <w:rPr>
                <w:rFonts w:hint="default"/>
                <w:color w:val="auto"/>
                <w:sz w:val="21"/>
                <w:szCs w:val="21"/>
              </w:rPr>
              <w:t>表</w:t>
            </w:r>
            <w:r>
              <w:rPr>
                <w:rFonts w:hint="eastAsia"/>
                <w:color w:val="auto"/>
                <w:sz w:val="21"/>
                <w:szCs w:val="21"/>
                <w:lang w:val="en-US" w:eastAsia="zh-CN"/>
              </w:rPr>
              <w:t>6</w:t>
            </w:r>
          </w:p>
        </w:tc>
      </w:tr>
    </w:tbl>
    <w:p>
      <w:pPr>
        <w:ind w:firstLine="480" w:firstLineChars="200"/>
      </w:pPr>
      <w:bookmarkStart w:id="81" w:name="_Toc394"/>
      <w:bookmarkStart w:id="82" w:name="_Toc12088"/>
      <w:r>
        <w:rPr>
          <w:rFonts w:hint="eastAsia"/>
          <w:lang w:val="en-US" w:eastAsia="zh-CN"/>
        </w:rPr>
        <w:t>（3）</w:t>
      </w:r>
      <w:r>
        <w:t>噪声执行标准</w:t>
      </w:r>
      <w:bookmarkEnd w:id="73"/>
      <w:bookmarkEnd w:id="74"/>
      <w:bookmarkEnd w:id="75"/>
      <w:bookmarkEnd w:id="76"/>
      <w:bookmarkEnd w:id="77"/>
      <w:bookmarkEnd w:id="78"/>
      <w:bookmarkEnd w:id="79"/>
      <w:bookmarkEnd w:id="80"/>
      <w:bookmarkEnd w:id="81"/>
      <w:bookmarkEnd w:id="8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color w:val="auto"/>
        </w:rPr>
      </w:pPr>
      <w:bookmarkStart w:id="83" w:name="_Toc3637"/>
      <w:bookmarkStart w:id="84" w:name="_Toc30182"/>
      <w:bookmarkStart w:id="85" w:name="_Toc24501"/>
      <w:bookmarkStart w:id="86" w:name="_Toc28046"/>
      <w:bookmarkStart w:id="87" w:name="_Toc18457"/>
      <w:bookmarkStart w:id="88" w:name="_Toc3884"/>
      <w:bookmarkStart w:id="89" w:name="_Toc23135"/>
      <w:bookmarkStart w:id="90" w:name="_Toc27039"/>
      <w:r>
        <w:rPr>
          <w:rFonts w:hint="eastAsia"/>
          <w:color w:val="auto"/>
          <w:lang w:eastAsia="zh-CN"/>
        </w:rPr>
        <w:t>本</w:t>
      </w:r>
      <w:r>
        <w:rPr>
          <w:rFonts w:hint="eastAsia"/>
          <w:color w:val="auto"/>
        </w:rPr>
        <w:t>项目营运期厂界噪声执行《工业企业厂界环境噪声排放标准》（</w:t>
      </w:r>
      <w:r>
        <w:rPr>
          <w:color w:val="auto"/>
        </w:rPr>
        <w:t>GB12348-2008</w:t>
      </w:r>
      <w:r>
        <w:rPr>
          <w:rFonts w:hint="eastAsia"/>
          <w:color w:val="auto"/>
        </w:rPr>
        <w:t>）</w:t>
      </w:r>
      <w:r>
        <w:rPr>
          <w:rFonts w:hint="eastAsia"/>
          <w:color w:val="auto"/>
          <w:lang w:val="en-US" w:eastAsia="zh-CN"/>
        </w:rPr>
        <w:t>1</w:t>
      </w:r>
      <w:r>
        <w:rPr>
          <w:rFonts w:hint="eastAsia"/>
          <w:color w:val="auto"/>
        </w:rPr>
        <w:t>类标准规定限值，即昼间</w:t>
      </w:r>
      <w:r>
        <w:rPr>
          <w:rFonts w:hint="eastAsia"/>
          <w:color w:val="auto"/>
          <w:lang w:val="en-US" w:eastAsia="zh-CN"/>
        </w:rPr>
        <w:t>55</w:t>
      </w:r>
      <w:r>
        <w:rPr>
          <w:color w:val="auto"/>
        </w:rPr>
        <w:t>dB</w:t>
      </w:r>
      <w:r>
        <w:rPr>
          <w:rFonts w:hint="eastAsia"/>
          <w:color w:val="auto"/>
        </w:rPr>
        <w:t>（</w:t>
      </w:r>
      <w:r>
        <w:rPr>
          <w:color w:val="auto"/>
        </w:rPr>
        <w:t>A</w:t>
      </w:r>
      <w:r>
        <w:rPr>
          <w:rFonts w:hint="eastAsia"/>
          <w:color w:val="auto"/>
        </w:rPr>
        <w:t>），夜间</w:t>
      </w:r>
      <w:r>
        <w:rPr>
          <w:rFonts w:hint="eastAsia"/>
          <w:color w:val="auto"/>
          <w:lang w:val="en-US" w:eastAsia="zh-CN"/>
        </w:rPr>
        <w:t>45</w:t>
      </w:r>
      <w:r>
        <w:rPr>
          <w:color w:val="auto"/>
        </w:rPr>
        <w:t>dB</w:t>
      </w:r>
      <w:r>
        <w:rPr>
          <w:rFonts w:hint="eastAsia"/>
          <w:color w:val="auto"/>
        </w:rPr>
        <w:t>（</w:t>
      </w:r>
      <w:r>
        <w:rPr>
          <w:color w:val="auto"/>
        </w:rPr>
        <w:t>A</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b/>
          <w:bCs/>
          <w:color w:val="auto"/>
          <w:sz w:val="21"/>
          <w:szCs w:val="21"/>
        </w:rPr>
      </w:pPr>
      <w:r>
        <w:rPr>
          <w:b/>
          <w:bCs/>
          <w:color w:val="auto"/>
          <w:sz w:val="21"/>
          <w:szCs w:val="21"/>
        </w:rPr>
        <w:t>表</w:t>
      </w:r>
      <w:r>
        <w:rPr>
          <w:rFonts w:hint="eastAsia"/>
          <w:b/>
          <w:bCs/>
          <w:color w:val="auto"/>
          <w:sz w:val="21"/>
          <w:szCs w:val="21"/>
          <w:lang w:val="en-US" w:eastAsia="zh-CN"/>
        </w:rPr>
        <w:t>1.3-4</w:t>
      </w:r>
      <w:r>
        <w:rPr>
          <w:b/>
          <w:bCs/>
          <w:color w:val="auto"/>
          <w:sz w:val="21"/>
          <w:szCs w:val="21"/>
        </w:rPr>
        <w:t xml:space="preserve"> 厂界噪声评价标准</w:t>
      </w:r>
      <w:bookmarkEnd w:id="83"/>
      <w:bookmarkEnd w:id="84"/>
      <w:bookmarkEnd w:id="85"/>
      <w:bookmarkEnd w:id="86"/>
      <w:bookmarkEnd w:id="87"/>
      <w:bookmarkEnd w:id="88"/>
      <w:bookmarkEnd w:id="89"/>
      <w:bookmarkEnd w:id="90"/>
    </w:p>
    <w:tbl>
      <w:tblPr>
        <w:tblStyle w:val="16"/>
        <w:tblW w:w="8283" w:type="dxa"/>
        <w:jc w:val="center"/>
        <w:tblInd w:w="329"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05"/>
        <w:gridCol w:w="2439"/>
        <w:gridCol w:w="243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3405"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宋体" w:hAnsi="宋体"/>
                <w:b/>
                <w:color w:val="auto"/>
                <w:sz w:val="21"/>
                <w:szCs w:val="21"/>
              </w:rPr>
            </w:pPr>
            <w:r>
              <w:rPr>
                <w:rFonts w:hint="default" w:ascii="宋体" w:hAnsi="宋体"/>
                <w:b/>
                <w:color w:val="auto"/>
                <w:sz w:val="21"/>
                <w:szCs w:val="21"/>
              </w:rPr>
              <w:t>执行标准类别</w:t>
            </w:r>
          </w:p>
        </w:tc>
        <w:tc>
          <w:tcPr>
            <w:tcW w:w="4878"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宋体" w:hAnsi="宋体"/>
                <w:b/>
                <w:color w:val="auto"/>
                <w:sz w:val="21"/>
                <w:szCs w:val="21"/>
              </w:rPr>
            </w:pPr>
            <w:r>
              <w:rPr>
                <w:rFonts w:hint="default" w:ascii="宋体" w:hAnsi="宋体"/>
                <w:b/>
                <w:color w:val="auto"/>
                <w:sz w:val="21"/>
                <w:szCs w:val="21"/>
              </w:rPr>
              <w:t xml:space="preserve">标准值 </w:t>
            </w:r>
            <w:r>
              <w:rPr>
                <w:rFonts w:hint="default"/>
                <w:b/>
                <w:color w:val="auto"/>
                <w:sz w:val="21"/>
                <w:szCs w:val="21"/>
              </w:rPr>
              <w:t>[</w:t>
            </w:r>
            <w:r>
              <w:rPr>
                <w:rFonts w:hint="eastAsia"/>
                <w:b/>
                <w:color w:val="auto"/>
                <w:sz w:val="21"/>
                <w:szCs w:val="21"/>
              </w:rPr>
              <w:t>dB</w:t>
            </w:r>
            <w:r>
              <w:rPr>
                <w:rFonts w:hint="default"/>
                <w:color w:val="auto"/>
                <w:sz w:val="21"/>
                <w:szCs w:val="21"/>
              </w:rPr>
              <w:t>(</w:t>
            </w:r>
            <w:r>
              <w:rPr>
                <w:rFonts w:hint="default"/>
                <w:b/>
                <w:color w:val="auto"/>
                <w:sz w:val="21"/>
                <w:szCs w:val="21"/>
              </w:rPr>
              <w:t>A</w:t>
            </w:r>
            <w:r>
              <w:rPr>
                <w:rFonts w:hint="default"/>
                <w:color w:val="auto"/>
                <w:sz w:val="21"/>
                <w:szCs w:val="21"/>
              </w:rPr>
              <w:t>)</w:t>
            </w:r>
            <w:r>
              <w:rPr>
                <w:rFonts w:hint="default"/>
                <w:b/>
                <w:color w:val="auto"/>
                <w:sz w:val="21"/>
                <w:szCs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3405"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宋体" w:hAnsi="宋体"/>
                <w:b/>
                <w:color w:val="auto"/>
                <w:sz w:val="21"/>
                <w:szCs w:val="21"/>
              </w:rPr>
            </w:pPr>
          </w:p>
        </w:tc>
        <w:tc>
          <w:tcPr>
            <w:tcW w:w="24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宋体" w:hAnsi="宋体"/>
                <w:b/>
                <w:color w:val="auto"/>
                <w:sz w:val="21"/>
                <w:szCs w:val="21"/>
              </w:rPr>
            </w:pPr>
            <w:r>
              <w:rPr>
                <w:rFonts w:hint="default" w:ascii="宋体" w:hAnsi="宋体"/>
                <w:b/>
                <w:color w:val="auto"/>
                <w:sz w:val="21"/>
                <w:szCs w:val="21"/>
              </w:rPr>
              <w:t>昼  间</w:t>
            </w:r>
          </w:p>
        </w:tc>
        <w:tc>
          <w:tcPr>
            <w:tcW w:w="24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宋体" w:hAnsi="宋体"/>
                <w:b/>
                <w:color w:val="auto"/>
                <w:sz w:val="21"/>
                <w:szCs w:val="21"/>
              </w:rPr>
            </w:pPr>
            <w:r>
              <w:rPr>
                <w:rFonts w:hint="default" w:ascii="宋体" w:hAnsi="宋体"/>
                <w:b/>
                <w:color w:val="auto"/>
                <w:sz w:val="21"/>
                <w:szCs w:val="21"/>
              </w:rPr>
              <w:t>夜  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40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rPr>
            </w:pPr>
            <w:r>
              <w:rPr>
                <w:rFonts w:hint="default"/>
                <w:color w:val="auto"/>
                <w:sz w:val="21"/>
                <w:szCs w:val="21"/>
              </w:rPr>
              <w:t>GB12348-2008中</w:t>
            </w:r>
            <w:r>
              <w:rPr>
                <w:rFonts w:hint="eastAsia"/>
                <w:color w:val="auto"/>
                <w:sz w:val="21"/>
                <w:szCs w:val="21"/>
                <w:lang w:val="en-US" w:eastAsia="zh-CN"/>
              </w:rPr>
              <w:t>1</w:t>
            </w:r>
            <w:r>
              <w:rPr>
                <w:rFonts w:hint="default"/>
                <w:color w:val="auto"/>
                <w:sz w:val="21"/>
                <w:szCs w:val="21"/>
              </w:rPr>
              <w:t>类标准</w:t>
            </w:r>
          </w:p>
        </w:tc>
        <w:tc>
          <w:tcPr>
            <w:tcW w:w="24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eastAsia="宋体"/>
                <w:color w:val="auto"/>
                <w:sz w:val="21"/>
                <w:szCs w:val="21"/>
                <w:lang w:val="en-US" w:eastAsia="zh-CN"/>
              </w:rPr>
            </w:pPr>
            <w:r>
              <w:rPr>
                <w:rFonts w:hint="eastAsia"/>
                <w:color w:val="auto"/>
                <w:sz w:val="21"/>
                <w:szCs w:val="21"/>
                <w:lang w:val="en-US" w:eastAsia="zh-CN"/>
              </w:rPr>
              <w:t>55</w:t>
            </w:r>
          </w:p>
        </w:tc>
        <w:tc>
          <w:tcPr>
            <w:tcW w:w="24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eastAsia="宋体"/>
                <w:color w:val="auto"/>
                <w:sz w:val="21"/>
                <w:szCs w:val="21"/>
                <w:lang w:val="en-US" w:eastAsia="zh-CN"/>
              </w:rPr>
            </w:pPr>
            <w:r>
              <w:rPr>
                <w:rFonts w:hint="eastAsia"/>
                <w:color w:val="auto"/>
                <w:sz w:val="21"/>
                <w:szCs w:val="21"/>
                <w:lang w:val="en-US" w:eastAsia="zh-CN"/>
              </w:rPr>
              <w:t>45</w:t>
            </w:r>
          </w:p>
        </w:tc>
      </w:tr>
    </w:tbl>
    <w:p>
      <w:pPr>
        <w:ind w:firstLine="480" w:firstLineChars="200"/>
      </w:pPr>
      <w:bookmarkStart w:id="91" w:name="_Toc466555104"/>
      <w:bookmarkEnd w:id="91"/>
      <w:bookmarkStart w:id="92" w:name="_Toc466475805"/>
      <w:bookmarkEnd w:id="92"/>
      <w:bookmarkStart w:id="93" w:name="_Toc466554945"/>
      <w:bookmarkEnd w:id="93"/>
      <w:bookmarkStart w:id="94" w:name="_Toc9750"/>
      <w:bookmarkStart w:id="95" w:name="_Toc9362"/>
      <w:bookmarkStart w:id="96" w:name="_Toc27888"/>
      <w:bookmarkStart w:id="97" w:name="_Toc22747"/>
      <w:bookmarkStart w:id="98" w:name="_Toc1823"/>
      <w:bookmarkStart w:id="99" w:name="_Toc15142"/>
      <w:bookmarkStart w:id="100" w:name="_Toc456"/>
      <w:bookmarkStart w:id="101" w:name="_Toc12928"/>
      <w:bookmarkStart w:id="102" w:name="_Toc16184"/>
      <w:bookmarkStart w:id="103" w:name="_Toc12612"/>
      <w:r>
        <w:rPr>
          <w:rFonts w:hint="eastAsia"/>
          <w:lang w:val="en-US" w:eastAsia="zh-CN"/>
        </w:rPr>
        <w:t>（4）</w:t>
      </w:r>
      <w:r>
        <w:t>固体废</w:t>
      </w:r>
      <w:r>
        <w:rPr>
          <w:rFonts w:hint="eastAsia"/>
        </w:rPr>
        <w:t>弃</w:t>
      </w:r>
      <w:r>
        <w:t>物执行标准</w:t>
      </w:r>
      <w:bookmarkEnd w:id="94"/>
      <w:bookmarkEnd w:id="95"/>
      <w:bookmarkEnd w:id="96"/>
      <w:bookmarkEnd w:id="97"/>
      <w:bookmarkEnd w:id="98"/>
      <w:bookmarkEnd w:id="99"/>
      <w:bookmarkEnd w:id="100"/>
      <w:bookmarkEnd w:id="101"/>
      <w:bookmarkEnd w:id="102"/>
      <w:bookmarkEnd w:id="103"/>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auto"/>
          <w:lang w:eastAsia="zh-CN"/>
        </w:rPr>
      </w:pPr>
      <w:r>
        <w:rPr>
          <w:color w:val="auto"/>
        </w:rPr>
        <w:t>项目固废处理及处置执行《一般工业固体废物贮存、处置场污染控制标准》(GB</w:t>
      </w:r>
      <w:r>
        <w:rPr>
          <w:rFonts w:hint="eastAsia"/>
          <w:color w:val="auto"/>
          <w:lang w:val="en-US" w:eastAsia="zh-CN"/>
        </w:rPr>
        <w:t xml:space="preserve"> </w:t>
      </w:r>
      <w:r>
        <w:rPr>
          <w:color w:val="auto"/>
        </w:rPr>
        <w:t>18599-2001)</w:t>
      </w:r>
      <w:r>
        <w:rPr>
          <w:rFonts w:hint="eastAsia"/>
          <w:color w:val="auto"/>
          <w:lang w:eastAsia="zh-CN"/>
        </w:rPr>
        <w:t>和</w:t>
      </w:r>
      <w:r>
        <w:rPr>
          <w:color w:val="auto"/>
        </w:rPr>
        <w:t>《危险废物鉴别标准》(GB5085</w:t>
      </w:r>
      <w:r>
        <w:rPr>
          <w:rFonts w:hint="eastAsia"/>
          <w:color w:val="auto"/>
          <w:lang w:val="en-US" w:eastAsia="zh-CN"/>
        </w:rPr>
        <w:t>.1-2007</w:t>
      </w:r>
      <w:r>
        <w:rPr>
          <w:color w:val="auto"/>
        </w:rPr>
        <w:t>)</w:t>
      </w:r>
      <w:r>
        <w:rPr>
          <w:rFonts w:hint="eastAsia"/>
          <w:color w:val="auto"/>
          <w:lang w:eastAsia="zh-CN"/>
        </w:rPr>
        <w:t>。</w:t>
      </w:r>
    </w:p>
    <w:p>
      <w:pPr>
        <w:ind w:firstLine="480" w:firstLineChars="200"/>
        <w:rPr>
          <w:rFonts w:hint="eastAsia"/>
          <w:lang w:val="en-US" w:eastAsia="zh-CN"/>
        </w:rPr>
      </w:pPr>
      <w:r>
        <w:rPr>
          <w:rFonts w:hint="eastAsia"/>
          <w:lang w:val="en-US" w:eastAsia="zh-CN"/>
        </w:rPr>
        <w:t>（5）地下水执行标准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auto"/>
          <w:lang w:val="en-US" w:eastAsia="zh-CN"/>
        </w:rPr>
      </w:pPr>
      <w:r>
        <w:rPr>
          <w:rFonts w:hint="eastAsia"/>
          <w:color w:val="auto"/>
          <w:lang w:val="en-US" w:eastAsia="zh-CN"/>
        </w:rPr>
        <w:t>项目所在区域地下水质量执行《地下水质量标准》（GB/T 14848-93）Ⅲ类标准。具体标准值见表1.3-5。</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2108" w:firstLineChars="1000"/>
        <w:jc w:val="both"/>
        <w:textAlignment w:val="auto"/>
        <w:outlineLvl w:val="9"/>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表</w:t>
      </w:r>
      <w:r>
        <w:rPr>
          <w:rFonts w:hint="eastAsia" w:cs="Times New Roman"/>
          <w:b/>
          <w:bCs/>
          <w:color w:val="auto"/>
          <w:sz w:val="21"/>
          <w:szCs w:val="21"/>
          <w:lang w:val="en-US" w:eastAsia="zh-CN"/>
        </w:rPr>
        <w:t>1.3-5</w:t>
      </w:r>
      <w:r>
        <w:rPr>
          <w:rFonts w:hint="default" w:ascii="Times New Roman" w:hAnsi="Times New Roman" w:cs="Times New Roman"/>
          <w:b/>
          <w:bCs/>
          <w:color w:val="auto"/>
          <w:sz w:val="21"/>
          <w:szCs w:val="21"/>
          <w:lang w:val="en-US" w:eastAsia="zh-CN"/>
        </w:rPr>
        <w:t xml:space="preserve"> 地下水质量标准  （单位mg/L，pH除外）</w:t>
      </w:r>
    </w:p>
    <w:tbl>
      <w:tblPr>
        <w:tblStyle w:val="17"/>
        <w:tblW w:w="8580"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0"/>
        <w:gridCol w:w="850"/>
        <w:gridCol w:w="850"/>
        <w:gridCol w:w="850"/>
        <w:gridCol w:w="850"/>
        <w:gridCol w:w="850"/>
        <w:gridCol w:w="850"/>
        <w:gridCol w:w="850"/>
        <w:gridCol w:w="85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8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lang w:val="en-US" w:eastAsia="zh-CN"/>
              </w:rPr>
              <w:t>执行标准</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pH</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总硬度</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硫酸盐</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氯</w:t>
            </w:r>
            <w:r>
              <w:rPr>
                <w:rFonts w:hint="default" w:ascii="Times New Roman" w:hAnsi="Times New Roman" w:eastAsia="宋体" w:cs="Times New Roman"/>
                <w:b/>
                <w:bCs/>
                <w:color w:val="auto"/>
                <w:sz w:val="21"/>
                <w:szCs w:val="21"/>
                <w:vertAlign w:val="baseline"/>
                <w:lang w:val="en-US" w:eastAsia="zh-CN"/>
              </w:rPr>
              <w:t>化物</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高锰酸盐指数</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氨氮</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总铅</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总锌</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8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lang w:val="en-US" w:eastAsia="zh-CN"/>
              </w:rPr>
              <w:t>GB/T 14848-93</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6.5-8.5</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450</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250</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250</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3.0</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0.2</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0.05</w:t>
            </w:r>
          </w:p>
        </w:tc>
        <w:tc>
          <w:tcPr>
            <w:tcW w:w="85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1.0</w:t>
            </w:r>
          </w:p>
        </w:tc>
      </w:tr>
    </w:tbl>
    <w:p>
      <w:pPr>
        <w:spacing w:line="360" w:lineRule="auto"/>
        <w:ind w:firstLine="480" w:firstLineChars="200"/>
        <w:rPr>
          <w:rFonts w:hint="eastAsia"/>
          <w:lang w:val="en-US" w:eastAsia="zh-CN"/>
        </w:rPr>
      </w:pPr>
      <w:r>
        <w:rPr>
          <w:rFonts w:hint="eastAsia"/>
          <w:lang w:val="en-US" w:eastAsia="zh-CN"/>
        </w:rPr>
        <w:t>（6）环境空气执行标准</w:t>
      </w:r>
    </w:p>
    <w:p>
      <w:pPr>
        <w:pStyle w:val="18"/>
        <w:spacing w:line="360" w:lineRule="auto"/>
        <w:ind w:firstLine="480" w:firstLineChars="200"/>
        <w:rPr>
          <w:rFonts w:hint="eastAsia" w:ascii="Times New Roman"/>
          <w:color w:val="auto"/>
          <w:szCs w:val="24"/>
          <w:lang w:val="en-US" w:eastAsia="zh-CN"/>
        </w:rPr>
      </w:pPr>
      <w:r>
        <w:rPr>
          <w:rFonts w:hint="eastAsia"/>
          <w:color w:val="auto"/>
          <w:lang w:val="en-US" w:eastAsia="zh-CN"/>
        </w:rPr>
        <w:t>项目所在区域环境空气质量执行</w:t>
      </w:r>
      <w:r>
        <w:rPr>
          <w:rFonts w:ascii="Times New Roman"/>
          <w:color w:val="auto"/>
          <w:szCs w:val="24"/>
        </w:rPr>
        <w:t>《环境空气质量标准》</w:t>
      </w:r>
      <w:r>
        <w:rPr>
          <w:rFonts w:hint="eastAsia" w:ascii="Times New Roman"/>
          <w:color w:val="auto"/>
          <w:szCs w:val="24"/>
          <w:lang w:eastAsia="zh-CN"/>
        </w:rPr>
        <w:t>（</w:t>
      </w:r>
      <w:r>
        <w:rPr>
          <w:rFonts w:ascii="Times New Roman"/>
          <w:color w:val="auto"/>
          <w:szCs w:val="24"/>
        </w:rPr>
        <w:t>GB3095-</w:t>
      </w:r>
      <w:r>
        <w:rPr>
          <w:rFonts w:hint="eastAsia" w:ascii="Times New Roman"/>
          <w:color w:val="auto"/>
          <w:szCs w:val="24"/>
          <w:lang w:val="en-US" w:eastAsia="zh-CN"/>
        </w:rPr>
        <w:t>2012）</w:t>
      </w:r>
      <w:r>
        <w:rPr>
          <w:rFonts w:ascii="Times New Roman"/>
          <w:color w:val="auto"/>
          <w:szCs w:val="24"/>
        </w:rPr>
        <w:t>二级标准</w:t>
      </w:r>
      <w:r>
        <w:rPr>
          <w:rFonts w:hint="eastAsia" w:ascii="Times New Roman"/>
          <w:color w:val="auto"/>
          <w:szCs w:val="24"/>
          <w:lang w:eastAsia="zh-CN"/>
        </w:rPr>
        <w:t>。具体标准值见表</w:t>
      </w:r>
      <w:r>
        <w:rPr>
          <w:rFonts w:hint="eastAsia" w:ascii="Times New Roman"/>
          <w:color w:val="auto"/>
          <w:szCs w:val="24"/>
          <w:lang w:val="en-US" w:eastAsia="zh-CN"/>
        </w:rPr>
        <w:t>1.3-6。</w:t>
      </w:r>
    </w:p>
    <w:p>
      <w:pPr>
        <w:pStyle w:val="18"/>
        <w:spacing w:line="360" w:lineRule="auto"/>
        <w:ind w:firstLine="422" w:firstLineChars="200"/>
        <w:jc w:val="center"/>
        <w:rPr>
          <w:rFonts w:hint="eastAsia" w:ascii="Times New Roman"/>
          <w:b/>
          <w:bCs/>
          <w:sz w:val="21"/>
          <w:szCs w:val="21"/>
          <w:lang w:val="en-US" w:eastAsia="zh-CN"/>
        </w:rPr>
      </w:pPr>
      <w:r>
        <w:rPr>
          <w:rFonts w:hint="eastAsia" w:ascii="Times New Roman"/>
          <w:b/>
          <w:bCs/>
          <w:sz w:val="21"/>
          <w:szCs w:val="21"/>
          <w:lang w:eastAsia="zh-CN"/>
        </w:rPr>
        <w:t>表</w:t>
      </w:r>
      <w:r>
        <w:rPr>
          <w:rFonts w:hint="eastAsia" w:ascii="Times New Roman"/>
          <w:b/>
          <w:bCs/>
          <w:sz w:val="21"/>
          <w:szCs w:val="21"/>
          <w:lang w:val="en-US" w:eastAsia="zh-CN"/>
        </w:rPr>
        <w:t>1.3-6 环境空气质量标准</w:t>
      </w:r>
    </w:p>
    <w:tbl>
      <w:tblPr>
        <w:tblStyle w:val="16"/>
        <w:tblW w:w="8295" w:type="dxa"/>
        <w:tblInd w:w="113" w:type="dxa"/>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4757"/>
        <w:gridCol w:w="1333"/>
        <w:gridCol w:w="2205"/>
      </w:tblGrid>
      <w:tr>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trPr>
        <w:tc>
          <w:tcPr>
            <w:tcW w:w="4757" w:type="dxa"/>
            <w:tcBorders>
              <w:tl2br w:val="nil"/>
              <w:tr2bl w:val="nil"/>
            </w:tcBorders>
            <w:vAlign w:val="center"/>
          </w:tcPr>
          <w:p>
            <w:pPr>
              <w:spacing w:line="240" w:lineRule="auto"/>
              <w:ind w:firstLine="0" w:firstLineChars="0"/>
              <w:jc w:val="center"/>
              <w:rPr>
                <w:b/>
                <w:bCs/>
                <w:sz w:val="21"/>
              </w:rPr>
            </w:pPr>
            <w:r>
              <w:rPr>
                <w:b/>
                <w:bCs/>
                <w:sz w:val="21"/>
              </w:rPr>
              <w:t>适用标准</w:t>
            </w:r>
          </w:p>
        </w:tc>
        <w:tc>
          <w:tcPr>
            <w:tcW w:w="1333" w:type="dxa"/>
            <w:tcBorders>
              <w:tl2br w:val="nil"/>
              <w:tr2bl w:val="nil"/>
            </w:tcBorders>
            <w:vAlign w:val="center"/>
          </w:tcPr>
          <w:p>
            <w:pPr>
              <w:spacing w:line="240" w:lineRule="auto"/>
              <w:ind w:firstLine="0" w:firstLineChars="0"/>
              <w:jc w:val="center"/>
              <w:rPr>
                <w:rFonts w:hint="eastAsia" w:eastAsia="宋体"/>
                <w:b/>
                <w:bCs/>
                <w:sz w:val="21"/>
                <w:lang w:eastAsia="zh-CN"/>
              </w:rPr>
            </w:pPr>
            <w:r>
              <w:rPr>
                <w:rFonts w:hint="eastAsia"/>
                <w:b/>
                <w:bCs/>
                <w:sz w:val="21"/>
                <w:lang w:eastAsia="zh-CN"/>
              </w:rPr>
              <w:t>监测时间</w:t>
            </w:r>
          </w:p>
        </w:tc>
        <w:tc>
          <w:tcPr>
            <w:tcW w:w="2205" w:type="dxa"/>
            <w:tcBorders>
              <w:tl2br w:val="nil"/>
              <w:tr2bl w:val="nil"/>
            </w:tcBorders>
            <w:vAlign w:val="center"/>
          </w:tcPr>
          <w:p>
            <w:pPr>
              <w:spacing w:line="240" w:lineRule="auto"/>
              <w:ind w:firstLine="0" w:firstLineChars="0"/>
              <w:jc w:val="center"/>
              <w:rPr>
                <w:b/>
                <w:bCs/>
              </w:rPr>
            </w:pPr>
            <w:r>
              <w:rPr>
                <w:b/>
                <w:bCs/>
                <w:sz w:val="21"/>
              </w:rPr>
              <w:t>标准限值（ug/m</w:t>
            </w:r>
            <w:r>
              <w:rPr>
                <w:b/>
                <w:bCs/>
                <w:sz w:val="21"/>
                <w:vertAlign w:val="superscript"/>
              </w:rPr>
              <w:t>3</w:t>
            </w:r>
            <w:r>
              <w:rPr>
                <w:b/>
                <w:bCs/>
                <w:sz w:val="21"/>
              </w:rPr>
              <w:t>）</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trPr>
        <w:tc>
          <w:tcPr>
            <w:tcW w:w="4757" w:type="dxa"/>
            <w:tcBorders>
              <w:tl2br w:val="nil"/>
              <w:tr2bl w:val="nil"/>
            </w:tcBorders>
            <w:vAlign w:val="center"/>
          </w:tcPr>
          <w:p>
            <w:pPr>
              <w:spacing w:line="240" w:lineRule="auto"/>
              <w:ind w:firstLine="0" w:firstLineChars="0"/>
              <w:jc w:val="center"/>
              <w:rPr>
                <w:sz w:val="21"/>
              </w:rPr>
            </w:pPr>
            <w:r>
              <w:rPr>
                <w:sz w:val="21"/>
              </w:rPr>
              <w:t>《环境空气质量标准</w:t>
            </w:r>
            <w:r>
              <w:rPr>
                <w:rFonts w:hint="eastAsia"/>
                <w:sz w:val="21"/>
                <w:lang w:eastAsia="zh-CN"/>
              </w:rPr>
              <w:t>》</w:t>
            </w:r>
            <w:r>
              <w:rPr>
                <w:sz w:val="21"/>
              </w:rPr>
              <w:t>（GB3095-2012）</w:t>
            </w:r>
            <w:r>
              <w:rPr>
                <w:rFonts w:hint="eastAsia"/>
                <w:sz w:val="21"/>
                <w:lang w:eastAsia="zh-CN"/>
              </w:rPr>
              <w:t>二级标准</w:t>
            </w:r>
          </w:p>
        </w:tc>
        <w:tc>
          <w:tcPr>
            <w:tcW w:w="1333" w:type="dxa"/>
            <w:tcBorders>
              <w:tl2br w:val="nil"/>
              <w:tr2bl w:val="nil"/>
            </w:tcBorders>
            <w:vAlign w:val="center"/>
          </w:tcPr>
          <w:p>
            <w:pPr>
              <w:spacing w:line="240" w:lineRule="auto"/>
              <w:ind w:firstLine="0" w:firstLineChars="0"/>
              <w:jc w:val="center"/>
              <w:rPr>
                <w:rFonts w:hint="eastAsia" w:eastAsia="宋体"/>
                <w:sz w:val="21"/>
                <w:lang w:val="en-US" w:eastAsia="zh-CN"/>
              </w:rPr>
            </w:pPr>
            <w:r>
              <w:rPr>
                <w:rFonts w:hint="eastAsia"/>
                <w:sz w:val="21"/>
                <w:lang w:val="en-US" w:eastAsia="zh-CN"/>
              </w:rPr>
              <w:t>24小时</w:t>
            </w:r>
          </w:p>
        </w:tc>
        <w:tc>
          <w:tcPr>
            <w:tcW w:w="2205" w:type="dxa"/>
            <w:tcBorders>
              <w:tl2br w:val="nil"/>
              <w:tr2bl w:val="nil"/>
            </w:tcBorders>
            <w:vAlign w:val="center"/>
          </w:tcPr>
          <w:p>
            <w:pPr>
              <w:spacing w:line="240" w:lineRule="auto"/>
              <w:ind w:firstLine="0" w:firstLineChars="0"/>
              <w:jc w:val="center"/>
            </w:pPr>
            <w:r>
              <w:rPr>
                <w:sz w:val="21"/>
              </w:rPr>
              <w:t>300</w:t>
            </w:r>
          </w:p>
        </w:tc>
      </w:tr>
    </w:tbl>
    <w:p>
      <w:pPr>
        <w:ind w:firstLine="480" w:firstLineChars="200"/>
        <w:rPr>
          <w:rFonts w:hint="eastAsia"/>
          <w:lang w:val="en-US" w:eastAsia="zh-CN"/>
        </w:rPr>
      </w:pPr>
      <w:r>
        <w:rPr>
          <w:rFonts w:hint="eastAsia"/>
          <w:lang w:val="en-US" w:eastAsia="zh-CN"/>
        </w:rPr>
        <w:t>（7）环境噪声执行标准</w:t>
      </w:r>
    </w:p>
    <w:p>
      <w:pPr>
        <w:pStyle w:val="18"/>
        <w:spacing w:line="360" w:lineRule="auto"/>
        <w:ind w:firstLine="480" w:firstLineChars="200"/>
        <w:rPr>
          <w:rFonts w:hint="default" w:ascii="Times New Roman" w:hAnsi="Times New Roman" w:cs="Times New Roman"/>
          <w:b/>
          <w:bCs/>
          <w:color w:val="auto"/>
          <w:sz w:val="21"/>
          <w:szCs w:val="21"/>
          <w:lang w:eastAsia="zh-CN"/>
        </w:rPr>
      </w:pPr>
      <w:r>
        <w:rPr>
          <w:rFonts w:hint="default" w:ascii="Times New Roman" w:hAnsi="Times New Roman" w:cs="Times New Roman"/>
          <w:color w:val="auto"/>
          <w:lang w:val="en-US" w:eastAsia="zh-CN"/>
        </w:rPr>
        <w:t>项目所在区域环境噪声质量执行</w:t>
      </w:r>
      <w:r>
        <w:rPr>
          <w:rFonts w:hint="default" w:ascii="Times New Roman" w:hAnsi="Times New Roman" w:cs="Times New Roman"/>
        </w:rPr>
        <w:t>执行《声环境质量标准》（GB3096-2008）</w:t>
      </w:r>
      <w:r>
        <w:rPr>
          <w:rFonts w:hint="eastAsia" w:ascii="Times New Roman" w:hAnsi="Times New Roman" w:cs="Times New Roman"/>
          <w:lang w:eastAsia="zh-CN"/>
        </w:rPr>
        <w:t>中</w:t>
      </w:r>
      <w:r>
        <w:rPr>
          <w:rFonts w:hint="default" w:ascii="Times New Roman" w:hAnsi="Times New Roman" w:cs="Times New Roman"/>
          <w:lang w:val="en-US" w:eastAsia="zh-CN"/>
        </w:rPr>
        <w:t>1</w:t>
      </w:r>
      <w:r>
        <w:rPr>
          <w:rFonts w:hint="eastAsia" w:ascii="Times New Roman" w:hAnsi="Times New Roman" w:cs="Times New Roman"/>
          <w:lang w:val="en-US" w:eastAsia="zh-CN"/>
        </w:rPr>
        <w:t>类</w:t>
      </w:r>
      <w:r>
        <w:rPr>
          <w:rFonts w:hint="default" w:ascii="Times New Roman" w:hAnsi="Times New Roman" w:cs="Times New Roman"/>
          <w:color w:val="auto"/>
          <w:szCs w:val="24"/>
        </w:rPr>
        <w:t>标准</w:t>
      </w:r>
      <w:r>
        <w:rPr>
          <w:rFonts w:hint="default" w:ascii="Times New Roman" w:hAnsi="Times New Roman" w:cs="Times New Roman"/>
          <w:color w:val="auto"/>
          <w:szCs w:val="24"/>
          <w:lang w:eastAsia="zh-CN"/>
        </w:rPr>
        <w:t>。具体标准值见表</w:t>
      </w:r>
      <w:r>
        <w:rPr>
          <w:rFonts w:hint="eastAsia" w:ascii="Times New Roman" w:hAnsi="Times New Roman" w:cs="Times New Roman"/>
          <w:color w:val="auto"/>
          <w:szCs w:val="24"/>
          <w:lang w:val="en-US" w:eastAsia="zh-CN"/>
        </w:rPr>
        <w:t>1.3-7</w:t>
      </w:r>
      <w:r>
        <w:rPr>
          <w:rFonts w:hint="default" w:ascii="Times New Roman" w:hAnsi="Times New Roman" w:cs="Times New Roman"/>
          <w:color w:val="auto"/>
          <w:szCs w:val="24"/>
          <w:lang w:val="en-US" w:eastAsia="zh-CN"/>
        </w:rPr>
        <w:t>。</w:t>
      </w:r>
    </w:p>
    <w:p>
      <w:pPr>
        <w:pStyle w:val="18"/>
        <w:spacing w:line="360" w:lineRule="auto"/>
        <w:jc w:val="center"/>
        <w:rPr>
          <w:rFonts w:hint="default" w:ascii="Times New Roman" w:hAnsi="Times New Roman" w:cs="Times New Roman"/>
          <w:b/>
          <w:bCs/>
          <w:sz w:val="21"/>
          <w:szCs w:val="21"/>
          <w:lang w:eastAsia="zh-CN"/>
        </w:rPr>
      </w:pPr>
      <w:r>
        <w:rPr>
          <w:rFonts w:hint="default" w:ascii="Times New Roman" w:hAnsi="Times New Roman" w:cs="Times New Roman"/>
          <w:b/>
          <w:bCs/>
          <w:color w:val="auto"/>
          <w:sz w:val="21"/>
          <w:szCs w:val="21"/>
          <w:lang w:eastAsia="zh-CN"/>
        </w:rPr>
        <w:t>表</w:t>
      </w:r>
      <w:r>
        <w:rPr>
          <w:rFonts w:hint="eastAsia" w:ascii="Times New Roman" w:hAnsi="Times New Roman" w:cs="Times New Roman"/>
          <w:b/>
          <w:bCs/>
          <w:color w:val="auto"/>
          <w:sz w:val="21"/>
          <w:szCs w:val="21"/>
          <w:lang w:val="en-US" w:eastAsia="zh-CN"/>
        </w:rPr>
        <w:t>1.3-7</w:t>
      </w:r>
      <w:r>
        <w:rPr>
          <w:rFonts w:hint="default" w:ascii="Times New Roman" w:hAnsi="Times New Roman" w:cs="Times New Roman"/>
          <w:b/>
          <w:bCs/>
          <w:color w:val="auto"/>
          <w:sz w:val="21"/>
          <w:szCs w:val="21"/>
          <w:lang w:val="en-US" w:eastAsia="zh-CN"/>
        </w:rPr>
        <w:t xml:space="preserve"> 环境噪声质量标准</w:t>
      </w:r>
    </w:p>
    <w:tbl>
      <w:tblPr>
        <w:tblStyle w:val="16"/>
        <w:tblW w:w="8283" w:type="dxa"/>
        <w:jc w:val="center"/>
        <w:tblInd w:w="329"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05"/>
        <w:gridCol w:w="2439"/>
        <w:gridCol w:w="243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3405"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宋体" w:hAnsi="宋体"/>
                <w:b/>
                <w:color w:val="auto"/>
                <w:sz w:val="21"/>
                <w:szCs w:val="21"/>
              </w:rPr>
            </w:pPr>
            <w:r>
              <w:rPr>
                <w:rFonts w:hint="default" w:ascii="宋体" w:hAnsi="宋体"/>
                <w:b/>
                <w:color w:val="auto"/>
                <w:sz w:val="21"/>
                <w:szCs w:val="21"/>
              </w:rPr>
              <w:t>执行标准类别</w:t>
            </w:r>
          </w:p>
        </w:tc>
        <w:tc>
          <w:tcPr>
            <w:tcW w:w="4878"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宋体" w:hAnsi="宋体"/>
                <w:b/>
                <w:color w:val="auto"/>
                <w:sz w:val="21"/>
                <w:szCs w:val="21"/>
              </w:rPr>
            </w:pPr>
            <w:r>
              <w:rPr>
                <w:rFonts w:hint="default" w:ascii="宋体" w:hAnsi="宋体"/>
                <w:b/>
                <w:color w:val="auto"/>
                <w:sz w:val="21"/>
                <w:szCs w:val="21"/>
              </w:rPr>
              <w:t xml:space="preserve">标准值 </w:t>
            </w:r>
            <w:r>
              <w:rPr>
                <w:rFonts w:hint="default"/>
                <w:b/>
                <w:color w:val="auto"/>
                <w:sz w:val="21"/>
                <w:szCs w:val="21"/>
              </w:rPr>
              <w:t>[</w:t>
            </w:r>
            <w:r>
              <w:rPr>
                <w:rFonts w:hint="eastAsia"/>
                <w:b/>
                <w:color w:val="auto"/>
                <w:sz w:val="21"/>
                <w:szCs w:val="21"/>
              </w:rPr>
              <w:t>dB</w:t>
            </w:r>
            <w:r>
              <w:rPr>
                <w:rFonts w:hint="default"/>
                <w:color w:val="auto"/>
                <w:sz w:val="21"/>
                <w:szCs w:val="21"/>
              </w:rPr>
              <w:t>(</w:t>
            </w:r>
            <w:r>
              <w:rPr>
                <w:rFonts w:hint="default"/>
                <w:b/>
                <w:color w:val="auto"/>
                <w:sz w:val="21"/>
                <w:szCs w:val="21"/>
              </w:rPr>
              <w:t>A</w:t>
            </w:r>
            <w:r>
              <w:rPr>
                <w:rFonts w:hint="default"/>
                <w:color w:val="auto"/>
                <w:sz w:val="21"/>
                <w:szCs w:val="21"/>
              </w:rPr>
              <w:t>)</w:t>
            </w:r>
            <w:r>
              <w:rPr>
                <w:rFonts w:hint="default"/>
                <w:b/>
                <w:color w:val="auto"/>
                <w:sz w:val="21"/>
                <w:szCs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3405"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宋体" w:hAnsi="宋体"/>
                <w:b/>
                <w:color w:val="auto"/>
                <w:sz w:val="21"/>
                <w:szCs w:val="21"/>
              </w:rPr>
            </w:pPr>
          </w:p>
        </w:tc>
        <w:tc>
          <w:tcPr>
            <w:tcW w:w="24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宋体" w:hAnsi="宋体"/>
                <w:b/>
                <w:color w:val="auto"/>
                <w:sz w:val="21"/>
                <w:szCs w:val="21"/>
              </w:rPr>
            </w:pPr>
            <w:r>
              <w:rPr>
                <w:rFonts w:hint="default" w:ascii="宋体" w:hAnsi="宋体"/>
                <w:b/>
                <w:color w:val="auto"/>
                <w:sz w:val="21"/>
                <w:szCs w:val="21"/>
              </w:rPr>
              <w:t>昼  间</w:t>
            </w:r>
          </w:p>
        </w:tc>
        <w:tc>
          <w:tcPr>
            <w:tcW w:w="24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宋体" w:hAnsi="宋体"/>
                <w:b/>
                <w:color w:val="auto"/>
                <w:sz w:val="21"/>
                <w:szCs w:val="21"/>
              </w:rPr>
            </w:pPr>
            <w:r>
              <w:rPr>
                <w:rFonts w:hint="default" w:ascii="宋体" w:hAnsi="宋体"/>
                <w:b/>
                <w:color w:val="auto"/>
                <w:sz w:val="21"/>
                <w:szCs w:val="21"/>
              </w:rPr>
              <w:t>夜  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40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sz w:val="21"/>
                <w:szCs w:val="21"/>
              </w:rPr>
            </w:pPr>
            <w:r>
              <w:rPr>
                <w:rFonts w:hint="default"/>
                <w:color w:val="auto"/>
                <w:sz w:val="21"/>
                <w:szCs w:val="21"/>
              </w:rPr>
              <w:t>GB</w:t>
            </w:r>
            <w:r>
              <w:rPr>
                <w:rFonts w:hint="eastAsia"/>
                <w:color w:val="auto"/>
                <w:sz w:val="21"/>
                <w:szCs w:val="21"/>
                <w:lang w:val="en-US" w:eastAsia="zh-CN"/>
              </w:rPr>
              <w:t>3096</w:t>
            </w:r>
            <w:r>
              <w:rPr>
                <w:rFonts w:hint="default"/>
                <w:color w:val="auto"/>
                <w:sz w:val="21"/>
                <w:szCs w:val="21"/>
              </w:rPr>
              <w:t>-2008中</w:t>
            </w:r>
            <w:r>
              <w:rPr>
                <w:rFonts w:hint="eastAsia"/>
                <w:color w:val="auto"/>
                <w:sz w:val="21"/>
                <w:szCs w:val="21"/>
                <w:lang w:val="en-US" w:eastAsia="zh-CN"/>
              </w:rPr>
              <w:t>1</w:t>
            </w:r>
            <w:r>
              <w:rPr>
                <w:rFonts w:hint="default"/>
                <w:color w:val="auto"/>
                <w:sz w:val="21"/>
                <w:szCs w:val="21"/>
              </w:rPr>
              <w:t>类标准</w:t>
            </w:r>
          </w:p>
        </w:tc>
        <w:tc>
          <w:tcPr>
            <w:tcW w:w="24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eastAsia="宋体"/>
                <w:color w:val="auto"/>
                <w:sz w:val="21"/>
                <w:szCs w:val="21"/>
                <w:lang w:val="en-US" w:eastAsia="zh-CN"/>
              </w:rPr>
            </w:pPr>
            <w:r>
              <w:rPr>
                <w:rFonts w:hint="eastAsia"/>
                <w:color w:val="auto"/>
                <w:sz w:val="21"/>
                <w:szCs w:val="21"/>
                <w:lang w:val="en-US" w:eastAsia="zh-CN"/>
              </w:rPr>
              <w:t>55</w:t>
            </w:r>
          </w:p>
        </w:tc>
        <w:tc>
          <w:tcPr>
            <w:tcW w:w="24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eastAsia="宋体"/>
                <w:color w:val="auto"/>
                <w:sz w:val="21"/>
                <w:szCs w:val="21"/>
                <w:lang w:val="en-US" w:eastAsia="zh-CN"/>
              </w:rPr>
            </w:pPr>
            <w:r>
              <w:rPr>
                <w:rFonts w:hint="eastAsia"/>
                <w:color w:val="auto"/>
                <w:sz w:val="21"/>
                <w:szCs w:val="21"/>
                <w:lang w:val="en-US" w:eastAsia="zh-CN"/>
              </w:rPr>
              <w:t>45</w:t>
            </w:r>
          </w:p>
        </w:tc>
      </w:tr>
    </w:tbl>
    <w:p>
      <w:pPr>
        <w:ind w:firstLine="480" w:firstLineChars="200"/>
        <w:rPr>
          <w:rFonts w:hint="eastAsia"/>
          <w:lang w:val="en-US" w:eastAsia="zh-CN"/>
        </w:rPr>
      </w:pPr>
      <w:r>
        <w:rPr>
          <w:rFonts w:hint="eastAsia"/>
          <w:lang w:val="en-US" w:eastAsia="zh-CN"/>
        </w:rPr>
        <w:t>（7）地表水执行标准</w:t>
      </w:r>
    </w:p>
    <w:p>
      <w:pPr>
        <w:ind w:firstLine="480" w:firstLineChars="200"/>
        <w:rPr>
          <w:rFonts w:hint="eastAsia"/>
          <w:lang w:val="en-US" w:eastAsia="zh-CN"/>
        </w:rPr>
      </w:pPr>
      <w:r>
        <w:rPr>
          <w:rFonts w:hint="eastAsia"/>
          <w:lang w:val="en-US" w:eastAsia="zh-CN"/>
        </w:rPr>
        <w:t>因项目周边地表水为白洋河，距离较远，附件溪流干涸，因此本次调查未对地表水质量做详细监测。</w:t>
      </w:r>
    </w:p>
    <w:p>
      <w:pPr>
        <w:pStyle w:val="4"/>
      </w:pPr>
      <w:bookmarkStart w:id="104" w:name="_Toc376"/>
      <w:r>
        <w:rPr>
          <w:rFonts w:hint="eastAsia"/>
          <w:lang w:val="en-US" w:eastAsia="zh-CN"/>
        </w:rPr>
        <w:t xml:space="preserve">1.4 </w:t>
      </w:r>
      <w:r>
        <w:t>验收调查重点</w:t>
      </w:r>
      <w:bookmarkEnd w:id="45"/>
      <w:bookmarkEnd w:id="46"/>
      <w:bookmarkEnd w:id="51"/>
      <w:bookmarkEnd w:id="52"/>
      <w:bookmarkEnd w:id="53"/>
      <w:bookmarkEnd w:id="54"/>
      <w:bookmarkEnd w:id="55"/>
      <w:bookmarkEnd w:id="104"/>
    </w:p>
    <w:p>
      <w:pPr>
        <w:ind w:firstLine="480"/>
      </w:pPr>
      <w:r>
        <w:t>本次调查的重点是</w:t>
      </w:r>
      <w:r>
        <w:rPr>
          <w:rFonts w:hint="eastAsia"/>
          <w:lang w:eastAsia="zh-CN"/>
        </w:rPr>
        <w:t>姚街铅锌矿整合扩</w:t>
      </w:r>
      <w:r>
        <w:t>建后造成的生态环境影响、大气环境影响和声环境影响，分析环境影响评价文件中提出的各项环境保护措施落实情况及其有效性，并根据调查结果提出环境保护补救措施，为环境管理部门提供技术依据。</w:t>
      </w:r>
    </w:p>
    <w:p>
      <w:pPr>
        <w:ind w:firstLine="480" w:firstLineChars="200"/>
      </w:pPr>
      <w:r>
        <w:t>（1）调查</w:t>
      </w:r>
      <w:r>
        <w:rPr>
          <w:bCs/>
        </w:rPr>
        <w:t>各产尘</w:t>
      </w:r>
      <w:r>
        <w:rPr>
          <w:rFonts w:hint="eastAsia"/>
          <w:bCs/>
        </w:rPr>
        <w:t>节点</w:t>
      </w:r>
      <w:r>
        <w:t>除尘措施的实施情况及效果；</w:t>
      </w:r>
    </w:p>
    <w:p>
      <w:pPr>
        <w:ind w:firstLine="480"/>
      </w:pPr>
      <w:r>
        <w:t>（2）调查环境影响报告书提出的</w:t>
      </w:r>
      <w:r>
        <w:rPr>
          <w:rFonts w:hint="eastAsia"/>
        </w:rPr>
        <w:t>尾矿干堆库</w:t>
      </w:r>
      <w:r>
        <w:t>除尘措施的实施情况及效果；</w:t>
      </w:r>
    </w:p>
    <w:p>
      <w:pPr>
        <w:ind w:firstLine="480"/>
      </w:pPr>
      <w:r>
        <w:t>（3）调查项目</w:t>
      </w:r>
      <w:r>
        <w:rPr>
          <w:rFonts w:hint="eastAsia"/>
        </w:rPr>
        <w:t>尾矿废</w:t>
      </w:r>
      <w:r>
        <w:t>水处理措施是否按环境影响报告书的要求落实，调查雨水排放情况；</w:t>
      </w:r>
    </w:p>
    <w:p>
      <w:pPr>
        <w:ind w:firstLine="480"/>
      </w:pPr>
      <w:r>
        <w:t>（4）调查项目厂界噪声是否能达标排放；</w:t>
      </w:r>
    </w:p>
    <w:p>
      <w:pPr>
        <w:ind w:firstLine="480"/>
        <w:rPr>
          <w:rFonts w:hint="eastAsia"/>
        </w:rPr>
      </w:pPr>
      <w:r>
        <w:rPr>
          <w:rFonts w:hint="eastAsia"/>
        </w:rPr>
        <w:t>（5）调查周边生态恢复水土保持措施的实施情况及效果；</w:t>
      </w:r>
    </w:p>
    <w:p>
      <w:pPr>
        <w:pStyle w:val="2"/>
        <w:ind w:firstLine="480" w:firstLineChars="200"/>
        <w:rPr>
          <w:rFonts w:hint="eastAsia" w:eastAsia="宋体"/>
          <w:lang w:eastAsia="zh-CN"/>
        </w:rPr>
      </w:pPr>
      <w:r>
        <w:rPr>
          <w:rFonts w:hint="eastAsia"/>
          <w:lang w:eastAsia="zh-CN"/>
        </w:rPr>
        <w:t>（</w:t>
      </w:r>
      <w:r>
        <w:rPr>
          <w:rFonts w:hint="eastAsia"/>
          <w:lang w:val="en-US" w:eastAsia="zh-CN"/>
        </w:rPr>
        <w:t>6</w:t>
      </w:r>
      <w:r>
        <w:rPr>
          <w:rFonts w:hint="eastAsia"/>
          <w:lang w:eastAsia="zh-CN"/>
        </w:rPr>
        <w:t>）调查原姚街铅锌矿和姚街第二铅锌矿废石堆场的生态恢复情况；</w:t>
      </w:r>
    </w:p>
    <w:p>
      <w:pPr>
        <w:ind w:firstLine="480"/>
      </w:pPr>
      <w:r>
        <w:t>（</w:t>
      </w:r>
      <w:r>
        <w:rPr>
          <w:rFonts w:hint="eastAsia"/>
          <w:lang w:val="en-US" w:eastAsia="zh-CN"/>
        </w:rPr>
        <w:t>7</w:t>
      </w:r>
      <w:r>
        <w:t>）征求工程的影响区域内公众意见，包括</w:t>
      </w:r>
      <w:r>
        <w:rPr>
          <w:rFonts w:hint="eastAsia"/>
          <w:lang w:eastAsia="zh-CN"/>
        </w:rPr>
        <w:t>姚街铅锌矿</w:t>
      </w:r>
      <w:r>
        <w:t>周边的居民和有关单位，主要采取现场听取意见和分发调查表的形式进行。主要了解工程施工期、建成后受影响区域居民的意见和要求，了解工程设计、建设过程中的遗留问题，以便提出解决对策和建议。</w:t>
      </w:r>
    </w:p>
    <w:p>
      <w:pPr>
        <w:pStyle w:val="4"/>
      </w:pPr>
      <w:bookmarkStart w:id="105" w:name="_Toc464657298"/>
      <w:bookmarkStart w:id="106" w:name="_Toc2998"/>
      <w:bookmarkStart w:id="107" w:name="_Toc17015"/>
      <w:bookmarkStart w:id="108" w:name="_Toc450651894"/>
      <w:bookmarkStart w:id="109" w:name="_Toc483653486"/>
      <w:bookmarkStart w:id="110" w:name="_Toc19446"/>
      <w:r>
        <w:rPr>
          <w:rFonts w:hint="eastAsia"/>
          <w:lang w:val="en-US" w:eastAsia="zh-CN"/>
        </w:rPr>
        <w:t xml:space="preserve">1.5 </w:t>
      </w:r>
      <w:r>
        <w:t>环境敏感</w:t>
      </w:r>
      <w:bookmarkEnd w:id="47"/>
      <w:bookmarkEnd w:id="48"/>
      <w:bookmarkEnd w:id="49"/>
      <w:bookmarkEnd w:id="50"/>
      <w:r>
        <w:t>区及保护目标</w:t>
      </w:r>
      <w:bookmarkEnd w:id="105"/>
      <w:bookmarkEnd w:id="106"/>
      <w:bookmarkEnd w:id="107"/>
      <w:bookmarkEnd w:id="108"/>
      <w:bookmarkEnd w:id="109"/>
      <w:bookmarkEnd w:id="110"/>
    </w:p>
    <w:p>
      <w:pPr>
        <w:ind w:firstLine="480"/>
      </w:pPr>
      <w:r>
        <w:rPr>
          <w:rFonts w:hint="eastAsia"/>
        </w:rPr>
        <w:t>根据现场踏勘，结合环评时期环境保护目标分布情况，本次调查对现状实际分布进行了调查。验收调查范围内没有风景名胜区、文物古迹、自然保护区、饮用水源保护区、水厂取水口等环境保护敏感目标，环境保护目标主要为当地居民及相关水系等。验收调查过程中未发现新增敏感点。调查结果表明各环境保护目标没有发生变化，具体环境敏感目标调查情况见表</w:t>
      </w:r>
      <w:r>
        <w:rPr>
          <w:rFonts w:hint="eastAsia"/>
          <w:lang w:val="en-US" w:eastAsia="zh-CN"/>
        </w:rPr>
        <w:t>1.5-1。</w:t>
      </w:r>
    </w:p>
    <w:p>
      <w:pPr>
        <w:pStyle w:val="20"/>
        <w:spacing w:before="0" w:beforeLines="0" w:after="0" w:afterLines="0" w:line="360" w:lineRule="auto"/>
        <w:rPr>
          <w:rFonts w:hint="eastAsia"/>
          <w:color w:val="000000"/>
        </w:rPr>
      </w:pPr>
      <w:r>
        <w:rPr>
          <w:rFonts w:hint="eastAsia"/>
          <w:color w:val="000000"/>
        </w:rPr>
        <w:t>表</w:t>
      </w:r>
      <w:r>
        <w:rPr>
          <w:rFonts w:hint="eastAsia"/>
          <w:color w:val="000000"/>
          <w:lang w:val="en-US" w:eastAsia="zh-CN"/>
        </w:rPr>
        <w:t xml:space="preserve">1.5-1 </w:t>
      </w:r>
      <w:r>
        <w:rPr>
          <w:rFonts w:hint="eastAsia"/>
          <w:color w:val="000000"/>
        </w:rPr>
        <w:t>主要环境保护目标</w:t>
      </w:r>
    </w:p>
    <w:tbl>
      <w:tblPr>
        <w:tblStyle w:val="16"/>
        <w:tblW w:w="9616" w:type="dxa"/>
        <w:jc w:val="center"/>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16"/>
        <w:gridCol w:w="1395"/>
        <w:gridCol w:w="993"/>
        <w:gridCol w:w="1134"/>
        <w:gridCol w:w="1983"/>
        <w:gridCol w:w="2795"/>
      </w:tblGrid>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316" w:type="dxa"/>
            <w:vMerge w:val="restart"/>
            <w:tcBorders>
              <w:tl2br w:val="nil"/>
              <w:tr2bl w:val="nil"/>
            </w:tcBorders>
            <w:vAlign w:val="center"/>
          </w:tcPr>
          <w:p>
            <w:pPr>
              <w:spacing w:line="240" w:lineRule="auto"/>
              <w:jc w:val="center"/>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环境要素</w:t>
            </w:r>
          </w:p>
        </w:tc>
        <w:tc>
          <w:tcPr>
            <w:tcW w:w="1395" w:type="dxa"/>
            <w:vMerge w:val="restart"/>
            <w:tcBorders>
              <w:tl2br w:val="nil"/>
              <w:tr2bl w:val="nil"/>
            </w:tcBorders>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环境保护目标名称</w:t>
            </w:r>
          </w:p>
        </w:tc>
        <w:tc>
          <w:tcPr>
            <w:tcW w:w="2127" w:type="dxa"/>
            <w:gridSpan w:val="2"/>
            <w:tcBorders>
              <w:tl2br w:val="nil"/>
              <w:tr2bl w:val="nil"/>
            </w:tcBorders>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相对</w:t>
            </w:r>
            <w:r>
              <w:rPr>
                <w:rFonts w:hint="eastAsia" w:cs="Times New Roman"/>
                <w:b/>
                <w:bCs/>
                <w:sz w:val="21"/>
                <w:szCs w:val="21"/>
                <w:lang w:eastAsia="zh-CN"/>
              </w:rPr>
              <w:t>原</w:t>
            </w:r>
            <w:r>
              <w:rPr>
                <w:rFonts w:hint="default" w:ascii="Times New Roman" w:hAnsi="Times New Roman" w:eastAsia="宋体" w:cs="Times New Roman"/>
                <w:b/>
                <w:bCs/>
                <w:sz w:val="21"/>
                <w:szCs w:val="21"/>
              </w:rPr>
              <w:t>废石堆场边界</w:t>
            </w:r>
          </w:p>
        </w:tc>
        <w:tc>
          <w:tcPr>
            <w:tcW w:w="1983" w:type="dxa"/>
            <w:vMerge w:val="restart"/>
            <w:tcBorders>
              <w:tl2br w:val="nil"/>
              <w:tr2bl w:val="nil"/>
            </w:tcBorders>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规模</w:t>
            </w:r>
          </w:p>
        </w:tc>
        <w:tc>
          <w:tcPr>
            <w:tcW w:w="2795" w:type="dxa"/>
            <w:vMerge w:val="restart"/>
            <w:tcBorders>
              <w:tl2br w:val="nil"/>
              <w:tr2bl w:val="nil"/>
            </w:tcBorders>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环境功能</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316" w:type="dxa"/>
            <w:vMerge w:val="continue"/>
            <w:tcBorders>
              <w:tl2br w:val="nil"/>
              <w:tr2bl w:val="nil"/>
            </w:tcBorders>
            <w:vAlign w:val="center"/>
          </w:tcPr>
          <w:p>
            <w:pPr>
              <w:spacing w:line="240" w:lineRule="auto"/>
              <w:ind w:firstLine="480"/>
              <w:jc w:val="center"/>
              <w:rPr>
                <w:rFonts w:hint="default" w:ascii="Times New Roman" w:hAnsi="Times New Roman" w:eastAsia="宋体" w:cs="Times New Roman"/>
                <w:sz w:val="21"/>
                <w:szCs w:val="21"/>
              </w:rPr>
            </w:pPr>
          </w:p>
        </w:tc>
        <w:tc>
          <w:tcPr>
            <w:tcW w:w="1395" w:type="dxa"/>
            <w:vMerge w:val="continue"/>
            <w:tcBorders>
              <w:tl2br w:val="nil"/>
              <w:tr2bl w:val="nil"/>
            </w:tcBorders>
            <w:vAlign w:val="center"/>
          </w:tcPr>
          <w:p>
            <w:pPr>
              <w:spacing w:line="240" w:lineRule="auto"/>
              <w:ind w:firstLine="480"/>
              <w:jc w:val="center"/>
              <w:rPr>
                <w:rFonts w:hint="default" w:ascii="Times New Roman" w:hAnsi="Times New Roman" w:eastAsia="宋体" w:cs="Times New Roman"/>
                <w:sz w:val="21"/>
                <w:szCs w:val="21"/>
              </w:rPr>
            </w:pPr>
          </w:p>
        </w:tc>
        <w:tc>
          <w:tcPr>
            <w:tcW w:w="993" w:type="dxa"/>
            <w:tcBorders>
              <w:tl2br w:val="nil"/>
              <w:tr2bl w:val="nil"/>
            </w:tcBorders>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方位</w:t>
            </w:r>
          </w:p>
        </w:tc>
        <w:tc>
          <w:tcPr>
            <w:tcW w:w="1134" w:type="dxa"/>
            <w:tcBorders>
              <w:tl2br w:val="nil"/>
              <w:tr2bl w:val="nil"/>
            </w:tcBorders>
            <w:vAlign w:val="center"/>
          </w:tcPr>
          <w:p>
            <w:pPr>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距离（m）</w:t>
            </w:r>
          </w:p>
        </w:tc>
        <w:tc>
          <w:tcPr>
            <w:tcW w:w="1983" w:type="dxa"/>
            <w:vMerge w:val="continue"/>
            <w:tcBorders>
              <w:tl2br w:val="nil"/>
              <w:tr2bl w:val="nil"/>
            </w:tcBorders>
            <w:vAlign w:val="center"/>
          </w:tcPr>
          <w:p>
            <w:pPr>
              <w:spacing w:line="240" w:lineRule="auto"/>
              <w:ind w:firstLine="480"/>
              <w:jc w:val="center"/>
              <w:rPr>
                <w:rFonts w:hint="default" w:ascii="Times New Roman" w:hAnsi="Times New Roman" w:eastAsia="宋体" w:cs="Times New Roman"/>
                <w:sz w:val="21"/>
                <w:szCs w:val="21"/>
              </w:rPr>
            </w:pPr>
          </w:p>
        </w:tc>
        <w:tc>
          <w:tcPr>
            <w:tcW w:w="2795" w:type="dxa"/>
            <w:vMerge w:val="continue"/>
            <w:tcBorders>
              <w:tl2br w:val="nil"/>
              <w:tr2bl w:val="nil"/>
            </w:tcBorders>
            <w:vAlign w:val="center"/>
          </w:tcPr>
          <w:p>
            <w:pPr>
              <w:spacing w:line="240" w:lineRule="auto"/>
              <w:ind w:firstLine="480"/>
              <w:jc w:val="center"/>
              <w:rPr>
                <w:rFonts w:hint="default" w:ascii="Times New Roman" w:hAnsi="Times New Roman" w:eastAsia="宋体" w:cs="Times New Roman"/>
                <w:sz w:val="21"/>
                <w:szCs w:val="21"/>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316" w:type="dxa"/>
            <w:vMerge w:val="restar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大</w:t>
            </w:r>
            <w:r>
              <w:rPr>
                <w:rFonts w:hint="default" w:ascii="Times New Roman" w:hAnsi="Times New Roman" w:eastAsia="宋体" w:cs="Times New Roman"/>
                <w:sz w:val="21"/>
                <w:szCs w:val="21"/>
              </w:rPr>
              <w:t>气环境</w:t>
            </w:r>
          </w:p>
        </w:tc>
        <w:tc>
          <w:tcPr>
            <w:tcW w:w="1395"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新冲村民组</w:t>
            </w:r>
          </w:p>
        </w:tc>
        <w:tc>
          <w:tcPr>
            <w:tcW w:w="993"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NW</w:t>
            </w:r>
          </w:p>
        </w:tc>
        <w:tc>
          <w:tcPr>
            <w:tcW w:w="113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500</w:t>
            </w:r>
          </w:p>
        </w:tc>
        <w:tc>
          <w:tcPr>
            <w:tcW w:w="1983"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30户，120人</w:t>
            </w:r>
          </w:p>
        </w:tc>
        <w:tc>
          <w:tcPr>
            <w:tcW w:w="2795" w:type="dxa"/>
            <w:vMerge w:val="restar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《环境空气质量标准》二级</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316" w:type="dxa"/>
            <w:vMerge w:val="continue"/>
            <w:tcBorders>
              <w:tl2br w:val="nil"/>
              <w:tr2bl w:val="nil"/>
            </w:tcBorders>
            <w:vAlign w:val="center"/>
          </w:tcPr>
          <w:p>
            <w:pPr>
              <w:spacing w:line="240" w:lineRule="auto"/>
              <w:ind w:firstLine="480"/>
              <w:jc w:val="center"/>
              <w:rPr>
                <w:rFonts w:hint="default" w:ascii="Times New Roman" w:hAnsi="Times New Roman" w:eastAsia="宋体" w:cs="Times New Roman"/>
                <w:sz w:val="21"/>
                <w:szCs w:val="21"/>
              </w:rPr>
            </w:pPr>
          </w:p>
        </w:tc>
        <w:tc>
          <w:tcPr>
            <w:tcW w:w="1395"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张家</w:t>
            </w:r>
          </w:p>
        </w:tc>
        <w:tc>
          <w:tcPr>
            <w:tcW w:w="993"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w:t>
            </w:r>
          </w:p>
        </w:tc>
        <w:tc>
          <w:tcPr>
            <w:tcW w:w="113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150</w:t>
            </w:r>
          </w:p>
        </w:tc>
        <w:tc>
          <w:tcPr>
            <w:tcW w:w="1983"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2户，7人</w:t>
            </w:r>
          </w:p>
        </w:tc>
        <w:tc>
          <w:tcPr>
            <w:tcW w:w="2795" w:type="dxa"/>
            <w:vMerge w:val="continue"/>
            <w:tcBorders>
              <w:tl2br w:val="nil"/>
              <w:tr2bl w:val="nil"/>
            </w:tcBorders>
            <w:vAlign w:val="center"/>
          </w:tcPr>
          <w:p>
            <w:pPr>
              <w:spacing w:line="240" w:lineRule="auto"/>
              <w:ind w:firstLine="480"/>
              <w:jc w:val="center"/>
              <w:rPr>
                <w:rFonts w:hint="default" w:ascii="Times New Roman" w:hAnsi="Times New Roman" w:eastAsia="宋体" w:cs="Times New Roman"/>
                <w:sz w:val="21"/>
                <w:szCs w:val="21"/>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316"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地表水环境</w:t>
            </w:r>
          </w:p>
        </w:tc>
        <w:tc>
          <w:tcPr>
            <w:tcW w:w="1395"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白洋河</w:t>
            </w:r>
          </w:p>
        </w:tc>
        <w:tc>
          <w:tcPr>
            <w:tcW w:w="993"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w:t>
            </w:r>
          </w:p>
        </w:tc>
        <w:tc>
          <w:tcPr>
            <w:tcW w:w="113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约2000</w:t>
            </w:r>
          </w:p>
        </w:tc>
        <w:tc>
          <w:tcPr>
            <w:tcW w:w="1983"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中小型河流</w:t>
            </w:r>
          </w:p>
        </w:tc>
        <w:tc>
          <w:tcPr>
            <w:tcW w:w="2795"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《地表水环境质量标准》中的Ⅲ类</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316"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地下水环境</w:t>
            </w:r>
          </w:p>
        </w:tc>
        <w:tc>
          <w:tcPr>
            <w:tcW w:w="1395"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浅层地下水</w:t>
            </w:r>
          </w:p>
        </w:tc>
        <w:tc>
          <w:tcPr>
            <w:tcW w:w="993"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13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983"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2795"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《地下水质量标准》中Ⅲ类</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316" w:type="dxa"/>
            <w:vMerge w:val="restar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声环境</w:t>
            </w:r>
          </w:p>
        </w:tc>
        <w:tc>
          <w:tcPr>
            <w:tcW w:w="1395"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新冲村民组</w:t>
            </w:r>
          </w:p>
        </w:tc>
        <w:tc>
          <w:tcPr>
            <w:tcW w:w="993"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NW</w:t>
            </w:r>
          </w:p>
        </w:tc>
        <w:tc>
          <w:tcPr>
            <w:tcW w:w="113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500</w:t>
            </w:r>
          </w:p>
        </w:tc>
        <w:tc>
          <w:tcPr>
            <w:tcW w:w="1983"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30户，120人</w:t>
            </w:r>
          </w:p>
        </w:tc>
        <w:tc>
          <w:tcPr>
            <w:tcW w:w="2795" w:type="dxa"/>
            <w:vMerge w:val="restar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《声环境质量标准》中1类</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316" w:type="dxa"/>
            <w:vMerge w:val="continue"/>
            <w:tcBorders>
              <w:tl2br w:val="nil"/>
              <w:tr2bl w:val="nil"/>
            </w:tcBorders>
            <w:vAlign w:val="center"/>
          </w:tcPr>
          <w:p>
            <w:pPr>
              <w:spacing w:line="240" w:lineRule="auto"/>
              <w:ind w:firstLine="480"/>
              <w:jc w:val="center"/>
              <w:rPr>
                <w:rFonts w:hint="default" w:ascii="Times New Roman" w:hAnsi="Times New Roman" w:eastAsia="宋体" w:cs="Times New Roman"/>
                <w:sz w:val="21"/>
                <w:szCs w:val="21"/>
              </w:rPr>
            </w:pPr>
          </w:p>
        </w:tc>
        <w:tc>
          <w:tcPr>
            <w:tcW w:w="1395"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张家</w:t>
            </w:r>
          </w:p>
        </w:tc>
        <w:tc>
          <w:tcPr>
            <w:tcW w:w="993"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w:t>
            </w:r>
          </w:p>
        </w:tc>
        <w:tc>
          <w:tcPr>
            <w:tcW w:w="113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150</w:t>
            </w:r>
          </w:p>
        </w:tc>
        <w:tc>
          <w:tcPr>
            <w:tcW w:w="1983"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2户，7人</w:t>
            </w:r>
          </w:p>
        </w:tc>
        <w:tc>
          <w:tcPr>
            <w:tcW w:w="2795" w:type="dxa"/>
            <w:vMerge w:val="continue"/>
            <w:tcBorders>
              <w:tl2br w:val="nil"/>
              <w:tr2bl w:val="nil"/>
            </w:tcBorders>
            <w:vAlign w:val="center"/>
          </w:tcPr>
          <w:p>
            <w:pPr>
              <w:spacing w:line="240" w:lineRule="auto"/>
              <w:ind w:firstLine="480"/>
              <w:jc w:val="center"/>
              <w:rPr>
                <w:rFonts w:hint="default" w:ascii="Times New Roman" w:hAnsi="Times New Roman" w:eastAsia="宋体" w:cs="Times New Roman"/>
                <w:sz w:val="21"/>
                <w:szCs w:val="21"/>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316"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生态环境</w:t>
            </w:r>
          </w:p>
        </w:tc>
        <w:tc>
          <w:tcPr>
            <w:tcW w:w="1395"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评价区域生态环境</w:t>
            </w:r>
          </w:p>
        </w:tc>
        <w:tc>
          <w:tcPr>
            <w:tcW w:w="6905" w:type="dxa"/>
            <w:gridSpan w:val="4"/>
            <w:tcBorders>
              <w:tl2br w:val="nil"/>
              <w:tr2bl w:val="nil"/>
            </w:tcBorders>
            <w:vAlign w:val="center"/>
          </w:tcPr>
          <w:p>
            <w:pPr>
              <w:spacing w:line="240" w:lineRule="auto"/>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保持区域生态环境的生物多样性，减轻项目带来的生态影响，防止水土流失，保护项目区周围农业生态系统及区域内植被，保持生态环境维持良性循环</w:t>
            </w:r>
          </w:p>
        </w:tc>
      </w:tr>
    </w:tbl>
    <w:p>
      <w:pPr>
        <w:pStyle w:val="18"/>
        <w:rPr>
          <w:rFonts w:hint="eastAsia"/>
          <w:lang w:val="en-US" w:eastAsia="zh-CN"/>
        </w:rPr>
        <w:sectPr>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jc w:val="center"/>
      </w:pPr>
      <w:bookmarkStart w:id="111" w:name="_Toc18839"/>
      <w:r>
        <w:rPr>
          <w:rFonts w:hint="eastAsia"/>
          <w:lang w:val="en-US" w:eastAsia="zh-CN"/>
        </w:rPr>
        <w:t>2</w:t>
      </w:r>
      <w:r>
        <w:rPr>
          <w:rFonts w:hint="eastAsia"/>
        </w:rPr>
        <w:t xml:space="preserve"> </w:t>
      </w:r>
      <w:r>
        <w:t>工程调查</w:t>
      </w:r>
      <w:bookmarkEnd w:id="111"/>
    </w:p>
    <w:p>
      <w:pPr>
        <w:pStyle w:val="4"/>
        <w:rPr>
          <w:rFonts w:hint="eastAsia"/>
          <w:color w:val="auto"/>
          <w:lang w:val="en-US" w:eastAsia="zh-CN"/>
        </w:rPr>
      </w:pPr>
      <w:bookmarkStart w:id="112" w:name="_Toc22927"/>
      <w:bookmarkStart w:id="113" w:name="_Toc25941"/>
      <w:bookmarkStart w:id="114" w:name="_Toc21811"/>
      <w:bookmarkStart w:id="115" w:name="_Toc6608"/>
      <w:bookmarkStart w:id="116" w:name="_Toc23050"/>
      <w:bookmarkStart w:id="117" w:name="_Toc9429"/>
      <w:bookmarkStart w:id="118" w:name="_Toc2011"/>
      <w:bookmarkStart w:id="119" w:name="_Toc10850"/>
      <w:bookmarkStart w:id="120" w:name="_Toc10713"/>
      <w:bookmarkStart w:id="121" w:name="_Toc7955"/>
      <w:bookmarkStart w:id="122" w:name="_Toc14906"/>
      <w:r>
        <w:rPr>
          <w:rFonts w:hint="eastAsia"/>
          <w:color w:val="auto"/>
          <w:lang w:val="en-US" w:eastAsia="zh-CN"/>
        </w:rPr>
        <w:t>2.1 原有项目概况</w:t>
      </w:r>
      <w:bookmarkEnd w:id="112"/>
      <w:bookmarkEnd w:id="113"/>
    </w:p>
    <w:p>
      <w:pPr>
        <w:spacing w:line="360" w:lineRule="auto"/>
        <w:ind w:firstLine="480"/>
        <w:rPr>
          <w:rFonts w:hint="eastAsia"/>
          <w:color w:val="auto"/>
        </w:rPr>
      </w:pPr>
      <w:r>
        <w:rPr>
          <w:rFonts w:hint="eastAsia"/>
          <w:color w:val="auto"/>
          <w:sz w:val="24"/>
        </w:rPr>
        <w:t>原有两个矿山在本次整合前，已全部完成前期环评手续。其中《池州市贵池区姚街铅锌矿环境影响报告表（报批稿）》已于2005年7月2日通过池州市环境保护局审批；《池州市贵池区梅街镇姚街第二铅锌矿环境影响报告表（报批稿）》已于2005年7月2日通过池州市环境保护局审批，批复文件见附件。</w:t>
      </w:r>
    </w:p>
    <w:p>
      <w:pPr>
        <w:pStyle w:val="5"/>
        <w:tabs>
          <w:tab w:val="left" w:pos="1620"/>
        </w:tabs>
        <w:spacing w:line="360" w:lineRule="auto"/>
        <w:rPr>
          <w:rFonts w:hint="eastAsia"/>
          <w:color w:val="auto"/>
        </w:rPr>
      </w:pPr>
      <w:r>
        <w:rPr>
          <w:rFonts w:hint="eastAsia"/>
          <w:color w:val="auto"/>
          <w:lang w:val="en-US" w:eastAsia="zh-CN"/>
        </w:rPr>
        <w:t>2.1</w:t>
      </w:r>
      <w:r>
        <w:rPr>
          <w:rFonts w:hint="eastAsia"/>
          <w:color w:val="auto"/>
        </w:rPr>
        <w:t>.1原池州市贵池区姚街铅锌矿</w:t>
      </w:r>
    </w:p>
    <w:p>
      <w:pPr>
        <w:spacing w:line="360" w:lineRule="auto"/>
        <w:ind w:firstLine="480"/>
        <w:rPr>
          <w:rFonts w:hint="eastAsia"/>
          <w:color w:val="auto"/>
          <w:sz w:val="24"/>
        </w:rPr>
      </w:pPr>
      <w:r>
        <w:rPr>
          <w:rFonts w:hint="eastAsia"/>
          <w:color w:val="auto"/>
          <w:sz w:val="24"/>
        </w:rPr>
        <w:t>原池州市贵池区姚街铅锌矿为姚街村所属集体企业，该矿于2005年9月取得池州市贵池区姚街铅锌矿采矿权，</w:t>
      </w:r>
      <w:r>
        <w:rPr>
          <w:rFonts w:hint="eastAsia"/>
          <w:color w:val="auto"/>
          <w:sz w:val="24"/>
          <w:lang w:eastAsia="zh-CN"/>
        </w:rPr>
        <w:t>该矿的</w:t>
      </w:r>
      <w:r>
        <w:rPr>
          <w:rFonts w:hint="eastAsia"/>
          <w:color w:val="auto"/>
          <w:sz w:val="24"/>
        </w:rPr>
        <w:t>采矿权短期许可证证号为C3400002009113220045864，有效期为2009年11月20日至2010年5月20日。该矿区面积为0.096km</w:t>
      </w:r>
      <w:r>
        <w:rPr>
          <w:rFonts w:hint="eastAsia"/>
          <w:color w:val="auto"/>
          <w:sz w:val="24"/>
          <w:vertAlign w:val="superscript"/>
        </w:rPr>
        <w:t>2</w:t>
      </w:r>
      <w:r>
        <w:rPr>
          <w:rFonts w:hint="eastAsia"/>
          <w:color w:val="auto"/>
          <w:sz w:val="24"/>
        </w:rPr>
        <w:t>，开采深度由+160m至+113m，在矿区+149m标高已掘平硐长度10m左右。采矿权范围内共有4</w:t>
      </w:r>
      <w:r>
        <w:rPr>
          <w:rFonts w:hint="eastAsia"/>
          <w:color w:val="auto"/>
          <w:sz w:val="24"/>
          <w:lang w:eastAsia="zh-CN"/>
        </w:rPr>
        <w:t>个</w:t>
      </w:r>
      <w:r>
        <w:rPr>
          <w:rFonts w:hint="eastAsia"/>
          <w:color w:val="auto"/>
          <w:sz w:val="24"/>
        </w:rPr>
        <w:t>拐点。其拐点坐标见表</w:t>
      </w:r>
      <w:r>
        <w:rPr>
          <w:rFonts w:hint="eastAsia"/>
          <w:color w:val="auto"/>
          <w:sz w:val="24"/>
          <w:lang w:val="en-US" w:eastAsia="zh-CN"/>
        </w:rPr>
        <w:t>2.1-1</w:t>
      </w:r>
      <w:r>
        <w:rPr>
          <w:rFonts w:hint="eastAsia"/>
          <w:color w:val="auto"/>
          <w:sz w:val="24"/>
        </w:rPr>
        <w:t>。</w:t>
      </w:r>
    </w:p>
    <w:p>
      <w:pPr>
        <w:spacing w:line="360" w:lineRule="auto"/>
        <w:jc w:val="center"/>
        <w:rPr>
          <w:rFonts w:hint="eastAsia"/>
          <w:color w:val="auto"/>
          <w:sz w:val="24"/>
        </w:rPr>
      </w:pPr>
      <w:r>
        <w:rPr>
          <w:rFonts w:hint="eastAsia"/>
          <w:b/>
          <w:bCs/>
          <w:color w:val="auto"/>
          <w:sz w:val="21"/>
          <w:szCs w:val="21"/>
        </w:rPr>
        <w:t>表</w:t>
      </w:r>
      <w:r>
        <w:rPr>
          <w:rFonts w:hint="eastAsia"/>
          <w:b/>
          <w:bCs/>
          <w:color w:val="auto"/>
          <w:sz w:val="21"/>
          <w:szCs w:val="21"/>
          <w:lang w:val="en-US" w:eastAsia="zh-CN"/>
        </w:rPr>
        <w:t>2.1</w:t>
      </w:r>
      <w:r>
        <w:rPr>
          <w:rFonts w:hint="eastAsia"/>
          <w:b/>
          <w:bCs/>
          <w:color w:val="auto"/>
          <w:sz w:val="21"/>
          <w:szCs w:val="21"/>
        </w:rPr>
        <w:t>-</w:t>
      </w:r>
      <w:r>
        <w:rPr>
          <w:rFonts w:hint="eastAsia"/>
          <w:b/>
          <w:bCs/>
          <w:color w:val="auto"/>
          <w:sz w:val="21"/>
          <w:szCs w:val="21"/>
          <w:lang w:val="en-US" w:eastAsia="zh-CN"/>
        </w:rPr>
        <w:t>1</w:t>
      </w:r>
      <w:r>
        <w:rPr>
          <w:rFonts w:hint="eastAsia"/>
          <w:b/>
          <w:bCs/>
          <w:color w:val="auto"/>
          <w:sz w:val="21"/>
          <w:szCs w:val="21"/>
        </w:rPr>
        <w:t xml:space="preserve"> 矿区范围拐点坐标表</w:t>
      </w:r>
    </w:p>
    <w:tbl>
      <w:tblPr>
        <w:tblStyle w:val="16"/>
        <w:tblW w:w="8837" w:type="dxa"/>
        <w:jc w:val="center"/>
        <w:tblInd w:w="6"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19"/>
        <w:gridCol w:w="1147"/>
        <w:gridCol w:w="3035"/>
        <w:gridCol w:w="293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69" w:hRule="atLeast"/>
          <w:jc w:val="center"/>
        </w:trPr>
        <w:tc>
          <w:tcPr>
            <w:tcW w:w="1719"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b/>
                <w:bCs/>
                <w:color w:val="auto"/>
                <w:sz w:val="21"/>
                <w:szCs w:val="21"/>
              </w:rPr>
            </w:pPr>
            <w:r>
              <w:rPr>
                <w:rFonts w:hint="eastAsia"/>
                <w:b/>
                <w:bCs/>
                <w:color w:val="auto"/>
                <w:sz w:val="21"/>
                <w:szCs w:val="21"/>
              </w:rPr>
              <w:t>矿权名称</w:t>
            </w: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b/>
                <w:bCs/>
                <w:color w:val="auto"/>
                <w:sz w:val="21"/>
                <w:szCs w:val="21"/>
              </w:rPr>
            </w:pPr>
            <w:r>
              <w:rPr>
                <w:rFonts w:hint="eastAsia"/>
                <w:b/>
                <w:bCs/>
                <w:color w:val="auto"/>
                <w:sz w:val="21"/>
                <w:szCs w:val="21"/>
              </w:rPr>
              <w:t>点号</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b/>
                <w:bCs/>
                <w:color w:val="auto"/>
                <w:sz w:val="21"/>
                <w:szCs w:val="21"/>
              </w:rPr>
            </w:pPr>
            <w:r>
              <w:rPr>
                <w:rFonts w:hint="eastAsia"/>
                <w:b/>
                <w:bCs/>
                <w:color w:val="auto"/>
                <w:sz w:val="21"/>
                <w:szCs w:val="21"/>
              </w:rPr>
              <w:t>X（米）</w:t>
            </w:r>
          </w:p>
        </w:tc>
        <w:tc>
          <w:tcPr>
            <w:tcW w:w="2936"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b/>
                <w:bCs/>
                <w:color w:val="auto"/>
                <w:sz w:val="21"/>
                <w:szCs w:val="21"/>
              </w:rPr>
            </w:pPr>
            <w:r>
              <w:rPr>
                <w:rFonts w:hint="eastAsia"/>
                <w:b/>
                <w:bCs/>
                <w:color w:val="auto"/>
                <w:sz w:val="21"/>
                <w:szCs w:val="21"/>
              </w:rPr>
              <w:t>Y（米）</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69" w:hRule="atLeast"/>
          <w:jc w:val="center"/>
        </w:trPr>
        <w:tc>
          <w:tcPr>
            <w:tcW w:w="1719" w:type="dxa"/>
            <w:vMerge w:val="restart"/>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eastAsia"/>
                <w:color w:val="auto"/>
                <w:sz w:val="21"/>
                <w:szCs w:val="21"/>
              </w:rPr>
            </w:pPr>
            <w:r>
              <w:rPr>
                <w:rFonts w:hint="eastAsia"/>
                <w:color w:val="auto"/>
                <w:sz w:val="21"/>
                <w:szCs w:val="21"/>
              </w:rPr>
              <w:t>池州市贵池区</w:t>
            </w:r>
          </w:p>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eastAsia"/>
                <w:color w:val="auto"/>
                <w:sz w:val="21"/>
                <w:szCs w:val="21"/>
              </w:rPr>
              <w:t>姚街铅锌矿</w:t>
            </w: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1</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3366800.00</w:t>
            </w:r>
          </w:p>
        </w:tc>
        <w:tc>
          <w:tcPr>
            <w:tcW w:w="2936"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39561880.00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69" w:hRule="atLeast"/>
          <w:jc w:val="center"/>
        </w:trPr>
        <w:tc>
          <w:tcPr>
            <w:tcW w:w="1719"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2</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3366400.00</w:t>
            </w:r>
          </w:p>
        </w:tc>
        <w:tc>
          <w:tcPr>
            <w:tcW w:w="2936"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39561800.00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69" w:hRule="atLeast"/>
          <w:jc w:val="center"/>
        </w:trPr>
        <w:tc>
          <w:tcPr>
            <w:tcW w:w="1719"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3</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3366400.00</w:t>
            </w:r>
          </w:p>
        </w:tc>
        <w:tc>
          <w:tcPr>
            <w:tcW w:w="2936"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39561560.00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69" w:hRule="atLeast"/>
          <w:jc w:val="center"/>
        </w:trPr>
        <w:tc>
          <w:tcPr>
            <w:tcW w:w="1719" w:type="dxa"/>
            <w:vMerge w:val="continue"/>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4</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3366800.00</w:t>
            </w:r>
          </w:p>
        </w:tc>
        <w:tc>
          <w:tcPr>
            <w:tcW w:w="2936" w:type="dxa"/>
            <w:tcBorders>
              <w:tl2br w:val="nil"/>
              <w:tr2bl w:val="nil"/>
            </w:tcBorders>
            <w:vAlign w:val="center"/>
          </w:tcPr>
          <w:p>
            <w:pPr>
              <w:pStyle w:val="22"/>
              <w:keepNext w:val="0"/>
              <w:keepLines w:val="0"/>
              <w:widowControl/>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39561640.00</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hAnsi="宋体"/>
          <w:color w:val="auto"/>
          <w:sz w:val="24"/>
        </w:rPr>
      </w:pPr>
      <w:r>
        <w:rPr>
          <w:rFonts w:hint="eastAsia"/>
          <w:color w:val="auto"/>
          <w:sz w:val="24"/>
        </w:rPr>
        <w:t>矿体呈似层状，形态较规则，产状较稳定。总体走向北东，走向延长200m，倾向南东，倾角14</w:t>
      </w:r>
      <w:r>
        <w:rPr>
          <w:color w:val="auto"/>
          <w:sz w:val="24"/>
        </w:rPr>
        <w:t>°-20°</w:t>
      </w:r>
      <w:r>
        <w:rPr>
          <w:rFonts w:hAnsi="宋体"/>
          <w:color w:val="auto"/>
          <w:sz w:val="24"/>
        </w:rPr>
        <w:t>，斜深</w:t>
      </w:r>
      <w:r>
        <w:rPr>
          <w:color w:val="auto"/>
          <w:sz w:val="24"/>
        </w:rPr>
        <w:t>43-125m</w:t>
      </w:r>
      <w:r>
        <w:rPr>
          <w:rFonts w:hAnsi="宋体"/>
          <w:color w:val="auto"/>
          <w:sz w:val="24"/>
        </w:rPr>
        <w:t>，厚度</w:t>
      </w:r>
      <w:r>
        <w:rPr>
          <w:color w:val="auto"/>
          <w:sz w:val="24"/>
        </w:rPr>
        <w:t>1.75m-4.64m</w:t>
      </w:r>
      <w:r>
        <w:rPr>
          <w:rFonts w:hAnsi="宋体"/>
          <w:color w:val="auto"/>
          <w:sz w:val="24"/>
        </w:rPr>
        <w:t>。</w:t>
      </w:r>
    </w:p>
    <w:p>
      <w:pPr>
        <w:spacing w:line="360" w:lineRule="auto"/>
        <w:ind w:firstLine="480"/>
        <w:rPr>
          <w:rFonts w:hint="eastAsia" w:hAnsi="宋体"/>
          <w:color w:val="auto"/>
          <w:sz w:val="24"/>
        </w:rPr>
      </w:pPr>
      <w:r>
        <w:rPr>
          <w:rFonts w:hint="eastAsia" w:hAnsi="宋体"/>
          <w:color w:val="auto"/>
          <w:sz w:val="24"/>
        </w:rPr>
        <w:t>矿石自然类型为含铅（锌）石榴石、透辉石、矽卡岩以及含矽卡岩化大理石。主要矿石组分为方铅矿，次为闪锌矿、黄铜矿等。主要脉石矿物为透辉石、石榴子石、方解石。方铅矿呈细粒结构，浸染状、细脉状分布。矿体含铅品位7.24-8.44%。</w:t>
      </w:r>
    </w:p>
    <w:p>
      <w:pPr>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根据开采设计方案，矿山开拓方式为平硐盲斜井开拓。盲斜井倾角为28°，长度为64m，垂直高度为30m，斜井规格2.5m×2.0m，至+119m水平，沿矿体的走向方向，脉内探矿控制矿体的走向长度。在矿体南侧+149m中段向地表掘一风井，并铺设人行梯子间，风井井口标高+180m，长度31m。</w:t>
      </w:r>
    </w:p>
    <w:p>
      <w:pPr>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原有项目采矿方法采用房柱法，自下而上分层回采，回采时，预留点柱支护。回采高度控制在2m左右，用YT-24型风动凿岩机打倾斜向上炮孔，孔深1.5m-2.0m，浅孔落矿。矿山生产规模为1万吨/a。</w:t>
      </w:r>
    </w:p>
    <w:p>
      <w:pPr>
        <w:spacing w:line="360" w:lineRule="auto"/>
        <w:ind w:firstLine="480"/>
        <w:rPr>
          <w:rFonts w:hint="eastAsia"/>
          <w:color w:val="auto"/>
          <w:sz w:val="24"/>
        </w:rPr>
      </w:pPr>
      <w:r>
        <w:rPr>
          <w:rFonts w:hint="eastAsia"/>
          <w:color w:val="auto"/>
          <w:sz w:val="24"/>
        </w:rPr>
        <w:t>新鲜风流由采场两侧的切割上山进入采场工作面，污风通过采场天井从各水平脉内回风巷道经回风石门由风井排出。</w:t>
      </w:r>
    </w:p>
    <w:p>
      <w:pPr>
        <w:spacing w:line="360" w:lineRule="auto"/>
        <w:ind w:firstLine="480"/>
        <w:rPr>
          <w:rFonts w:hint="eastAsia"/>
          <w:color w:val="auto"/>
          <w:sz w:val="24"/>
        </w:rPr>
      </w:pPr>
      <w:r>
        <w:rPr>
          <w:rFonts w:hint="eastAsia"/>
          <w:color w:val="auto"/>
          <w:sz w:val="24"/>
        </w:rPr>
        <w:t>原池州市贵池区姚街铅锌矿设置矿石堆场1个，废石堆场1个。根据现场调查，废石堆场面积约1362m</w:t>
      </w:r>
      <w:r>
        <w:rPr>
          <w:rFonts w:hint="eastAsia"/>
          <w:color w:val="auto"/>
          <w:sz w:val="24"/>
          <w:vertAlign w:val="superscript"/>
        </w:rPr>
        <w:t>2</w:t>
      </w:r>
      <w:r>
        <w:rPr>
          <w:rFonts w:hint="eastAsia"/>
          <w:color w:val="auto"/>
          <w:sz w:val="24"/>
        </w:rPr>
        <w:t>，呈狭长椭圆形，现有堆存量为10400m</w:t>
      </w:r>
      <w:r>
        <w:rPr>
          <w:rFonts w:hint="eastAsia"/>
          <w:color w:val="auto"/>
          <w:sz w:val="24"/>
          <w:vertAlign w:val="superscript"/>
        </w:rPr>
        <w:t>3</w:t>
      </w:r>
      <w:r>
        <w:rPr>
          <w:rFonts w:hint="eastAsia"/>
          <w:color w:val="auto"/>
          <w:sz w:val="24"/>
        </w:rPr>
        <w:t>。</w:t>
      </w:r>
    </w:p>
    <w:p>
      <w:pPr>
        <w:spacing w:line="360" w:lineRule="auto"/>
        <w:ind w:firstLine="480"/>
        <w:rPr>
          <w:rFonts w:hint="eastAsia"/>
          <w:color w:val="auto"/>
          <w:sz w:val="24"/>
        </w:rPr>
      </w:pPr>
      <w:r>
        <w:rPr>
          <w:rFonts w:hint="eastAsia"/>
          <w:color w:val="auto"/>
          <w:sz w:val="24"/>
        </w:rPr>
        <w:t>矿石运输采用0.5m</w:t>
      </w:r>
      <w:r>
        <w:rPr>
          <w:rFonts w:hint="eastAsia"/>
          <w:color w:val="auto"/>
          <w:sz w:val="24"/>
          <w:vertAlign w:val="superscript"/>
        </w:rPr>
        <w:t>3</w:t>
      </w:r>
      <w:r>
        <w:rPr>
          <w:rFonts w:hint="eastAsia"/>
          <w:color w:val="auto"/>
          <w:sz w:val="24"/>
        </w:rPr>
        <w:t>侧卸式矿车有轨运输，矿车经采场漏斗装车后，由人工推至车场，后由斜井提升机提升至井口车场，再由人工将矿车运往矿石堆场卸矿。矿石厂外运输采用汽车外运。</w:t>
      </w:r>
    </w:p>
    <w:p>
      <w:pPr>
        <w:spacing w:line="360" w:lineRule="auto"/>
        <w:ind w:firstLine="480"/>
        <w:rPr>
          <w:rFonts w:hint="eastAsia"/>
          <w:color w:val="auto"/>
          <w:sz w:val="24"/>
        </w:rPr>
      </w:pPr>
      <w:r>
        <w:rPr>
          <w:rFonts w:hint="eastAsia"/>
          <w:color w:val="auto"/>
          <w:sz w:val="24"/>
        </w:rPr>
        <w:t>项目配置250KVA变压器各一台，用电来自梅街镇变电所10KV高压输电线路，经矿区内变压器降压后供矿区地下生产及地面生产生活用电。</w:t>
      </w:r>
    </w:p>
    <w:p>
      <w:pPr>
        <w:spacing w:line="360" w:lineRule="auto"/>
        <w:ind w:firstLine="480"/>
        <w:rPr>
          <w:rFonts w:hint="eastAsia"/>
          <w:color w:val="auto"/>
          <w:sz w:val="24"/>
        </w:rPr>
      </w:pPr>
      <w:r>
        <w:rPr>
          <w:rFonts w:hint="eastAsia"/>
          <w:color w:val="auto"/>
          <w:sz w:val="24"/>
        </w:rPr>
        <w:t>项目生活用水来源于附近村庄井水。生产用水来自矿井涌水。</w:t>
      </w:r>
    </w:p>
    <w:p>
      <w:pPr>
        <w:pStyle w:val="5"/>
        <w:tabs>
          <w:tab w:val="left" w:pos="1620"/>
        </w:tabs>
        <w:rPr>
          <w:rFonts w:hint="eastAsia"/>
          <w:color w:val="auto"/>
        </w:rPr>
      </w:pPr>
      <w:r>
        <w:rPr>
          <w:rFonts w:hint="eastAsia"/>
          <w:color w:val="auto"/>
          <w:lang w:val="en-US" w:eastAsia="zh-CN"/>
        </w:rPr>
        <w:t>2.1</w:t>
      </w:r>
      <w:r>
        <w:rPr>
          <w:rFonts w:hint="eastAsia"/>
          <w:color w:val="auto"/>
        </w:rPr>
        <w:t>.2原池州市贵池区梅街镇姚街第二铅锌矿</w:t>
      </w:r>
    </w:p>
    <w:p>
      <w:pPr>
        <w:spacing w:line="360" w:lineRule="auto"/>
        <w:ind w:firstLine="480"/>
        <w:rPr>
          <w:rFonts w:hint="eastAsia"/>
          <w:color w:val="auto"/>
        </w:rPr>
      </w:pPr>
      <w:r>
        <w:rPr>
          <w:rFonts w:hint="eastAsia"/>
          <w:color w:val="auto"/>
          <w:sz w:val="24"/>
        </w:rPr>
        <w:t>原池州市贵池区梅街镇姚街第二铅锌矿为姚街村所属集体企业，池州市贵池区梅街镇姚街第二铅锌矿于2006年8月取得采矿许可证，短期许可证证号为C3400002009113220045865，有效期为2009年11月20日至2010年5月20日。该矿区面积为0.1172km</w:t>
      </w:r>
      <w:r>
        <w:rPr>
          <w:rFonts w:hint="eastAsia"/>
          <w:color w:val="auto"/>
          <w:sz w:val="24"/>
          <w:vertAlign w:val="superscript"/>
        </w:rPr>
        <w:t>2</w:t>
      </w:r>
      <w:r>
        <w:rPr>
          <w:rFonts w:hint="eastAsia"/>
          <w:color w:val="auto"/>
          <w:sz w:val="24"/>
        </w:rPr>
        <w:t>，开采深度由+125m至+30m，采矿权范围由8个拐点组成。拐点坐标见表</w:t>
      </w:r>
      <w:r>
        <w:rPr>
          <w:rFonts w:hint="eastAsia"/>
          <w:color w:val="auto"/>
          <w:sz w:val="24"/>
          <w:lang w:val="en-US" w:eastAsia="zh-CN"/>
        </w:rPr>
        <w:t>2.1-2</w:t>
      </w:r>
      <w:r>
        <w:rPr>
          <w:rFonts w:hint="eastAsia"/>
          <w:color w:val="auto"/>
          <w:sz w:val="24"/>
        </w:rPr>
        <w:t>。</w:t>
      </w:r>
    </w:p>
    <w:p>
      <w:pPr>
        <w:spacing w:line="360" w:lineRule="auto"/>
        <w:jc w:val="center"/>
        <w:rPr>
          <w:rFonts w:hint="eastAsia"/>
          <w:color w:val="auto"/>
          <w:sz w:val="24"/>
        </w:rPr>
      </w:pPr>
      <w:r>
        <w:rPr>
          <w:rFonts w:hint="eastAsia"/>
          <w:b/>
          <w:bCs/>
          <w:color w:val="auto"/>
          <w:sz w:val="21"/>
          <w:szCs w:val="21"/>
        </w:rPr>
        <w:t>表</w:t>
      </w:r>
      <w:r>
        <w:rPr>
          <w:rFonts w:hint="eastAsia"/>
          <w:b/>
          <w:bCs/>
          <w:color w:val="auto"/>
          <w:sz w:val="21"/>
          <w:szCs w:val="21"/>
          <w:lang w:val="en-US" w:eastAsia="zh-CN"/>
        </w:rPr>
        <w:t>2.1-2</w:t>
      </w:r>
      <w:r>
        <w:rPr>
          <w:rFonts w:hint="eastAsia"/>
          <w:b/>
          <w:bCs/>
          <w:color w:val="auto"/>
          <w:sz w:val="21"/>
          <w:szCs w:val="21"/>
        </w:rPr>
        <w:t xml:space="preserve"> 矿区范围拐点坐标表</w:t>
      </w:r>
    </w:p>
    <w:tbl>
      <w:tblPr>
        <w:tblStyle w:val="16"/>
        <w:tblW w:w="8731" w:type="dxa"/>
        <w:jc w:val="center"/>
        <w:tblInd w:w="108"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4"/>
        <w:gridCol w:w="1147"/>
        <w:gridCol w:w="3035"/>
        <w:gridCol w:w="293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614"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矿权名称</w:t>
            </w: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点号</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X（米）</w:t>
            </w:r>
          </w:p>
        </w:tc>
        <w:tc>
          <w:tcPr>
            <w:tcW w:w="29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Y（米）</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614" w:type="dxa"/>
            <w:vMerge w:val="restart"/>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池州市贵池区梅街镇</w:t>
            </w:r>
          </w:p>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姚街第二</w:t>
            </w:r>
          </w:p>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铅锌矿</w:t>
            </w: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3366380.00</w:t>
            </w:r>
          </w:p>
        </w:tc>
        <w:tc>
          <w:tcPr>
            <w:tcW w:w="29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39562000.00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614" w:type="dxa"/>
            <w:vMerge w:val="continue"/>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3366020.00</w:t>
            </w:r>
          </w:p>
        </w:tc>
        <w:tc>
          <w:tcPr>
            <w:tcW w:w="29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39562000.00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614" w:type="dxa"/>
            <w:vMerge w:val="continue"/>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3a</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3366020.00</w:t>
            </w:r>
          </w:p>
        </w:tc>
        <w:tc>
          <w:tcPr>
            <w:tcW w:w="29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39561848.50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614" w:type="dxa"/>
            <w:vMerge w:val="continue"/>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4a</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3366035.00</w:t>
            </w:r>
          </w:p>
        </w:tc>
        <w:tc>
          <w:tcPr>
            <w:tcW w:w="29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39561850.10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614" w:type="dxa"/>
            <w:vMerge w:val="continue"/>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5a</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3366034.00</w:t>
            </w:r>
          </w:p>
        </w:tc>
        <w:tc>
          <w:tcPr>
            <w:tcW w:w="29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39561784.80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614" w:type="dxa"/>
            <w:vMerge w:val="continue"/>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3366096.00</w:t>
            </w:r>
          </w:p>
        </w:tc>
        <w:tc>
          <w:tcPr>
            <w:tcW w:w="29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39561680.00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614" w:type="dxa"/>
            <w:vMerge w:val="continue"/>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3366280.00</w:t>
            </w:r>
          </w:p>
        </w:tc>
        <w:tc>
          <w:tcPr>
            <w:tcW w:w="29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39561640.00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jc w:val="center"/>
        </w:trPr>
        <w:tc>
          <w:tcPr>
            <w:tcW w:w="1614" w:type="dxa"/>
            <w:vMerge w:val="continue"/>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p>
        </w:tc>
        <w:tc>
          <w:tcPr>
            <w:tcW w:w="1147"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30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3366380.00</w:t>
            </w:r>
          </w:p>
        </w:tc>
        <w:tc>
          <w:tcPr>
            <w:tcW w:w="2935" w:type="dxa"/>
            <w:tcBorders>
              <w:tl2br w:val="nil"/>
              <w:tr2bl w:val="nil"/>
            </w:tcBorders>
            <w:vAlign w:val="center"/>
          </w:tcPr>
          <w:p>
            <w:pPr>
              <w:pStyle w:val="22"/>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39561640.00</w:t>
            </w:r>
          </w:p>
        </w:tc>
      </w:tr>
    </w:tbl>
    <w:p>
      <w:pPr>
        <w:spacing w:line="360" w:lineRule="auto"/>
        <w:ind w:left="0" w:leftChars="0" w:firstLine="480" w:firstLineChars="200"/>
        <w:rPr>
          <w:rFonts w:hint="eastAsia"/>
          <w:color w:val="auto"/>
          <w:sz w:val="24"/>
        </w:rPr>
      </w:pPr>
      <w:r>
        <w:rPr>
          <w:rFonts w:hint="eastAsia"/>
          <w:color w:val="auto"/>
          <w:sz w:val="24"/>
        </w:rPr>
        <w:t>通风系统：新鲜风流由采场一侧的切割上山进入采场工作面，污风通过采场另一侧的人行天井从各水平脉内回风巷道经回风天井、总回风沿脉，由回风斜井排出。</w:t>
      </w:r>
    </w:p>
    <w:p>
      <w:pPr>
        <w:spacing w:line="360" w:lineRule="auto"/>
        <w:ind w:firstLine="480"/>
        <w:rPr>
          <w:rFonts w:hint="eastAsia"/>
          <w:color w:val="auto"/>
          <w:sz w:val="24"/>
        </w:rPr>
      </w:pPr>
      <w:r>
        <w:rPr>
          <w:rFonts w:hint="eastAsia"/>
          <w:color w:val="auto"/>
          <w:sz w:val="24"/>
        </w:rPr>
        <w:t>堆场：原池州市贵池区梅街镇姚街第二铅锌矿现有遗留废石堆场1个，废石堆场面积为1021m</w:t>
      </w:r>
      <w:r>
        <w:rPr>
          <w:rFonts w:hint="eastAsia"/>
          <w:color w:val="auto"/>
          <w:sz w:val="24"/>
          <w:vertAlign w:val="superscript"/>
        </w:rPr>
        <w:t>2</w:t>
      </w:r>
      <w:r>
        <w:rPr>
          <w:rFonts w:hint="eastAsia"/>
          <w:color w:val="auto"/>
          <w:sz w:val="24"/>
        </w:rPr>
        <w:t>，堆场现有废石堆存量为1600m</w:t>
      </w:r>
      <w:r>
        <w:rPr>
          <w:rFonts w:hint="eastAsia"/>
          <w:color w:val="auto"/>
          <w:sz w:val="24"/>
          <w:vertAlign w:val="superscript"/>
        </w:rPr>
        <w:t>3</w:t>
      </w:r>
      <w:r>
        <w:rPr>
          <w:rFonts w:hint="eastAsia"/>
          <w:color w:val="auto"/>
          <w:sz w:val="24"/>
        </w:rPr>
        <w:t>。</w:t>
      </w:r>
    </w:p>
    <w:p>
      <w:pPr>
        <w:spacing w:line="360" w:lineRule="auto"/>
        <w:ind w:firstLine="480"/>
        <w:rPr>
          <w:rFonts w:hint="eastAsia"/>
          <w:color w:val="auto"/>
          <w:sz w:val="24"/>
        </w:rPr>
      </w:pPr>
      <w:r>
        <w:rPr>
          <w:rFonts w:hint="eastAsia"/>
          <w:color w:val="auto"/>
          <w:sz w:val="24"/>
        </w:rPr>
        <w:t>运输系统：矿石采用自流或人工搬运到采场底部漏斗，经漏斗放矿，矿车运输，由人工推车将矿石运输到斜井下部车场，由提升绞车提升到地表卸矿。</w:t>
      </w:r>
    </w:p>
    <w:p>
      <w:pPr>
        <w:spacing w:line="360" w:lineRule="auto"/>
        <w:ind w:firstLine="480"/>
        <w:rPr>
          <w:rFonts w:hint="eastAsia"/>
          <w:color w:val="auto"/>
          <w:sz w:val="24"/>
        </w:rPr>
      </w:pPr>
      <w:r>
        <w:rPr>
          <w:rFonts w:hint="eastAsia"/>
          <w:color w:val="auto"/>
          <w:sz w:val="24"/>
        </w:rPr>
        <w:t>供电系统：项目设置250KVA变压器各一台，用电来自梅街镇变电所10KV高压输电线路，经矿区内变压器降压后供矿区地下生产及地面生产生活用电。</w:t>
      </w:r>
    </w:p>
    <w:p>
      <w:pPr>
        <w:spacing w:line="360" w:lineRule="auto"/>
        <w:ind w:firstLine="480"/>
        <w:rPr>
          <w:rFonts w:hint="eastAsia"/>
          <w:color w:val="auto"/>
          <w:sz w:val="24"/>
        </w:rPr>
      </w:pPr>
      <w:r>
        <w:rPr>
          <w:rFonts w:hint="eastAsia"/>
          <w:color w:val="auto"/>
          <w:sz w:val="24"/>
        </w:rPr>
        <w:t>给排水系统：项目生活用水来源于附近村庄</w:t>
      </w:r>
      <w:r>
        <w:rPr>
          <w:rFonts w:hint="eastAsia"/>
          <w:color w:val="auto"/>
          <w:sz w:val="24"/>
          <w:lang w:eastAsia="zh-CN"/>
        </w:rPr>
        <w:t>生活用水，即山上的山泉水</w:t>
      </w:r>
      <w:r>
        <w:rPr>
          <w:rFonts w:hint="eastAsia"/>
          <w:color w:val="auto"/>
          <w:sz w:val="24"/>
        </w:rPr>
        <w:t>。生产用水来自矿井涌水。</w:t>
      </w:r>
    </w:p>
    <w:p>
      <w:pPr>
        <w:spacing w:line="360" w:lineRule="auto"/>
        <w:ind w:firstLine="480"/>
        <w:rPr>
          <w:rFonts w:hint="eastAsia"/>
          <w:color w:val="auto"/>
          <w:sz w:val="24"/>
        </w:rPr>
      </w:pPr>
      <w:r>
        <w:rPr>
          <w:rFonts w:hint="eastAsia"/>
          <w:color w:val="auto"/>
          <w:sz w:val="24"/>
        </w:rPr>
        <w:t>生产规模及矿石品位：矿山原有生产规模为1万吨/a。原矿采出品位为：铅3.57%、锌2.28%。</w:t>
      </w:r>
    </w:p>
    <w:p>
      <w:pPr>
        <w:spacing w:line="360" w:lineRule="auto"/>
        <w:ind w:firstLine="529"/>
        <w:jc w:val="center"/>
        <w:rPr>
          <w:rFonts w:hint="eastAsia"/>
          <w:b/>
          <w:bCs/>
          <w:color w:val="auto"/>
          <w:sz w:val="21"/>
          <w:szCs w:val="21"/>
        </w:rPr>
      </w:pPr>
      <w:r>
        <w:rPr>
          <w:rFonts w:hint="eastAsia"/>
          <w:b/>
          <w:bCs/>
          <w:color w:val="auto"/>
          <w:sz w:val="21"/>
          <w:szCs w:val="21"/>
        </w:rPr>
        <w:t>表</w:t>
      </w:r>
      <w:r>
        <w:rPr>
          <w:rFonts w:hint="eastAsia"/>
          <w:b/>
          <w:bCs/>
          <w:color w:val="auto"/>
          <w:sz w:val="21"/>
          <w:szCs w:val="21"/>
          <w:lang w:val="en-US" w:eastAsia="zh-CN"/>
        </w:rPr>
        <w:t>2.1-3</w:t>
      </w:r>
      <w:r>
        <w:rPr>
          <w:rFonts w:hint="eastAsia"/>
          <w:b/>
          <w:bCs/>
          <w:color w:val="auto"/>
          <w:sz w:val="21"/>
          <w:szCs w:val="21"/>
        </w:rPr>
        <w:t xml:space="preserve"> 姚街铅锌矿</w:t>
      </w:r>
      <w:r>
        <w:rPr>
          <w:rFonts w:hint="eastAsia"/>
          <w:b/>
          <w:bCs/>
          <w:color w:val="auto"/>
          <w:sz w:val="21"/>
          <w:szCs w:val="21"/>
          <w:lang w:eastAsia="zh-CN"/>
        </w:rPr>
        <w:t>原</w:t>
      </w:r>
      <w:r>
        <w:rPr>
          <w:rFonts w:hint="eastAsia"/>
          <w:b/>
          <w:bCs/>
          <w:color w:val="auto"/>
          <w:sz w:val="21"/>
          <w:szCs w:val="21"/>
        </w:rPr>
        <w:t>有工程组成一览</w:t>
      </w:r>
      <w:r>
        <w:rPr>
          <w:b/>
          <w:bCs/>
          <w:color w:val="auto"/>
          <w:sz w:val="21"/>
          <w:szCs w:val="21"/>
        </w:rPr>
        <w:t>表</w:t>
      </w:r>
    </w:p>
    <w:tbl>
      <w:tblPr>
        <w:tblStyle w:val="16"/>
        <w:tblW w:w="8675" w:type="dxa"/>
        <w:jc w:val="center"/>
        <w:tblInd w:w="10" w:type="dxa"/>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1107"/>
        <w:gridCol w:w="1743"/>
        <w:gridCol w:w="5825"/>
      </w:tblGrid>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298" w:hRule="atLeast"/>
          <w:jc w:val="center"/>
        </w:trPr>
        <w:tc>
          <w:tcPr>
            <w:tcW w:w="110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工程类别</w:t>
            </w:r>
          </w:p>
        </w:tc>
        <w:tc>
          <w:tcPr>
            <w:tcW w:w="174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单项工程名称</w:t>
            </w:r>
          </w:p>
        </w:tc>
        <w:tc>
          <w:tcPr>
            <w:tcW w:w="582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工程内容</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70" w:hRule="atLeast"/>
          <w:jc w:val="center"/>
        </w:trPr>
        <w:tc>
          <w:tcPr>
            <w:tcW w:w="110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主体</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w:t>
            </w:r>
          </w:p>
        </w:tc>
        <w:tc>
          <w:tcPr>
            <w:tcW w:w="174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采矿工程</w:t>
            </w:r>
          </w:p>
        </w:tc>
        <w:tc>
          <w:tcPr>
            <w:tcW w:w="5825"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原姚街铅锌矿主井宽×高（2.5×2.0m），长320m；矿体南侧+149m中段向地表掘一风井，井口标高+180m，长31m；+128m沿脉巷道宽×高（1.8×1.7m），长340m。</w:t>
            </w:r>
          </w:p>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原姚街铅锌二矿主斜井宽×高（1.9×1.7m），长140m；+139m设一地表通风井，宽×高（1.7×1.6m），长80m；+129m沿脉巷道宽×高（1.8×1.7m），长340m；+75m上山巷道2个，均为宽×高（2×2m），长80m。</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440" w:hRule="atLeast"/>
          <w:jc w:val="center"/>
        </w:trPr>
        <w:tc>
          <w:tcPr>
            <w:tcW w:w="1107"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储运</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w:t>
            </w:r>
          </w:p>
        </w:tc>
        <w:tc>
          <w:tcPr>
            <w:tcW w:w="174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sz w:val="21"/>
                <w:szCs w:val="21"/>
              </w:rPr>
              <w:t>交通运输</w:t>
            </w:r>
          </w:p>
        </w:tc>
        <w:tc>
          <w:tcPr>
            <w:tcW w:w="5825"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有乡村公路通往采矿区，外部运输采用汽车</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440" w:hRule="atLeast"/>
          <w:jc w:val="center"/>
        </w:trPr>
        <w:tc>
          <w:tcPr>
            <w:tcW w:w="110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74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堆场</w:t>
            </w:r>
          </w:p>
        </w:tc>
        <w:tc>
          <w:tcPr>
            <w:tcW w:w="5825"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原池州市贵池区姚街铅锌矿设置矿石堆场1个，废石堆场1个，废石堆场面积约1362m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，现有堆存量为10400m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原姚街铅锌二矿现有遗留废石堆场1个，面积为1021m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，现有堆存量为1600m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69" w:hRule="atLeast"/>
          <w:jc w:val="center"/>
        </w:trPr>
        <w:tc>
          <w:tcPr>
            <w:tcW w:w="110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743" w:type="dxa"/>
            <w:tcBorders>
              <w:tl2br w:val="nil"/>
              <w:tr2bl w:val="nil"/>
            </w:tcBorders>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炸药库</w:t>
            </w:r>
          </w:p>
        </w:tc>
        <w:tc>
          <w:tcPr>
            <w:tcW w:w="5825" w:type="dxa"/>
            <w:tcBorders>
              <w:tl2br w:val="nil"/>
              <w:tr2bl w:val="nil"/>
            </w:tcBorders>
            <w:vAlign w:val="center"/>
          </w:tcPr>
          <w:p>
            <w:pPr>
              <w:keepNext w:val="0"/>
              <w:keepLines w:val="0"/>
              <w:suppressLineNumbers w:val="0"/>
              <w:autoSpaceDE w:val="0"/>
              <w:autoSpaceDN w:val="0"/>
              <w:adjustRightInd w:val="0"/>
              <w:snapToGrid w:val="0"/>
              <w:spacing w:before="0" w:beforeAutospacing="0" w:after="0" w:afterAutospacing="0" w:line="240" w:lineRule="auto"/>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主井西北约600m处，储存炸药及雷管等</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69" w:hRule="atLeast"/>
          <w:jc w:val="center"/>
        </w:trPr>
        <w:tc>
          <w:tcPr>
            <w:tcW w:w="1107"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生活及公用工程</w:t>
            </w:r>
          </w:p>
        </w:tc>
        <w:tc>
          <w:tcPr>
            <w:tcW w:w="174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生活和办公</w:t>
            </w:r>
          </w:p>
        </w:tc>
        <w:tc>
          <w:tcPr>
            <w:tcW w:w="5825" w:type="dxa"/>
            <w:tcBorders>
              <w:tl2br w:val="nil"/>
              <w:tr2bl w:val="nil"/>
            </w:tcBorders>
            <w:vAlign w:val="center"/>
          </w:tcPr>
          <w:p>
            <w:pPr>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color w:val="auto"/>
                <w:spacing w:val="-20"/>
                <w:sz w:val="21"/>
                <w:szCs w:val="21"/>
              </w:rPr>
            </w:pPr>
            <w:r>
              <w:rPr>
                <w:rFonts w:hint="default" w:ascii="Times New Roman" w:hAnsi="Times New Roman" w:eastAsia="宋体" w:cs="Times New Roman"/>
                <w:color w:val="auto"/>
                <w:sz w:val="21"/>
                <w:szCs w:val="21"/>
              </w:rPr>
              <w:t>办公室、职工宿舍等均位于新冲村</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4" w:hRule="atLeast"/>
          <w:jc w:val="center"/>
        </w:trPr>
        <w:tc>
          <w:tcPr>
            <w:tcW w:w="110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74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给排水</w:t>
            </w:r>
          </w:p>
        </w:tc>
        <w:tc>
          <w:tcPr>
            <w:tcW w:w="5825"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pacing w:val="-20"/>
                <w:sz w:val="21"/>
                <w:szCs w:val="21"/>
              </w:rPr>
            </w:pPr>
            <w:r>
              <w:rPr>
                <w:rFonts w:hint="default" w:ascii="Times New Roman" w:hAnsi="Times New Roman" w:eastAsia="宋体" w:cs="Times New Roman"/>
                <w:color w:val="auto"/>
                <w:sz w:val="21"/>
                <w:szCs w:val="21"/>
              </w:rPr>
              <w:t>生产用水为矿坑涌水，生活用水来源于附近村庄</w:t>
            </w:r>
            <w:r>
              <w:rPr>
                <w:rFonts w:hint="eastAsia"/>
                <w:color w:val="auto"/>
                <w:sz w:val="21"/>
                <w:szCs w:val="21"/>
                <w:lang w:eastAsia="zh-CN"/>
              </w:rPr>
              <w:t>生活用水，即山上的山泉水</w:t>
            </w:r>
            <w:r>
              <w:rPr>
                <w:rFonts w:hint="default" w:ascii="Times New Roman" w:hAnsi="Times New Roman" w:eastAsia="宋体" w:cs="Times New Roman"/>
                <w:color w:val="auto"/>
                <w:sz w:val="21"/>
                <w:szCs w:val="21"/>
              </w:rPr>
              <w:t>。生活污水用于绿化，矿坑涌水经沉淀后排放。</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30" w:hRule="atLeast"/>
          <w:jc w:val="center"/>
        </w:trPr>
        <w:tc>
          <w:tcPr>
            <w:tcW w:w="110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74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供电</w:t>
            </w:r>
          </w:p>
        </w:tc>
        <w:tc>
          <w:tcPr>
            <w:tcW w:w="5825"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2个矿区供电均由梅街镇变电所10KV高压输电线路提供，配置250KVA变压器各一台，配置50kw内燃发电机组一台备用。</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4" w:hRule="atLeast"/>
          <w:jc w:val="center"/>
        </w:trPr>
        <w:tc>
          <w:tcPr>
            <w:tcW w:w="1107"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环保工程</w:t>
            </w:r>
          </w:p>
        </w:tc>
        <w:tc>
          <w:tcPr>
            <w:tcW w:w="174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spacing w:val="-20"/>
                <w:sz w:val="21"/>
                <w:szCs w:val="21"/>
              </w:rPr>
            </w:pPr>
            <w:r>
              <w:rPr>
                <w:rFonts w:hint="default" w:ascii="Times New Roman" w:hAnsi="Times New Roman" w:eastAsia="宋体" w:cs="Times New Roman"/>
                <w:color w:val="auto"/>
                <w:sz w:val="21"/>
                <w:szCs w:val="21"/>
              </w:rPr>
              <w:t>湿式除尘</w:t>
            </w:r>
          </w:p>
        </w:tc>
        <w:tc>
          <w:tcPr>
            <w:tcW w:w="5825"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井下开采采用湿式除尘措施，粉尘经治理后达标排放。</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252" w:hRule="atLeast"/>
          <w:jc w:val="center"/>
        </w:trPr>
        <w:tc>
          <w:tcPr>
            <w:tcW w:w="110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p>
        </w:tc>
        <w:tc>
          <w:tcPr>
            <w:tcW w:w="174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color w:val="auto"/>
                <w:sz w:val="21"/>
                <w:szCs w:val="21"/>
              </w:rPr>
              <w:t>噪声防治</w:t>
            </w:r>
          </w:p>
        </w:tc>
        <w:tc>
          <w:tcPr>
            <w:tcW w:w="5825"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对主要噪声源采取消声、隔声为主的治理措施，强噪声源安装消声器，并在设备用房内使用隔声、吸声材料。</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5" w:hRule="atLeast"/>
          <w:jc w:val="center"/>
        </w:trPr>
        <w:tc>
          <w:tcPr>
            <w:tcW w:w="110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p>
        </w:tc>
        <w:tc>
          <w:tcPr>
            <w:tcW w:w="174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固废处置</w:t>
            </w:r>
          </w:p>
        </w:tc>
        <w:tc>
          <w:tcPr>
            <w:tcW w:w="5825"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生活垃圾集中收</w:t>
            </w:r>
            <w:r>
              <w:rPr>
                <w:rFonts w:hint="default" w:ascii="Times New Roman" w:hAnsi="Times New Roman" w:eastAsia="宋体" w:cs="Times New Roman"/>
                <w:snapToGrid w:val="0"/>
                <w:color w:val="auto"/>
                <w:sz w:val="21"/>
                <w:szCs w:val="21"/>
              </w:rPr>
              <w:t>集、集中处理；采矿废石不出井嗣后井下回填。</w:t>
            </w:r>
          </w:p>
        </w:tc>
      </w:tr>
    </w:tbl>
    <w:p>
      <w:pPr>
        <w:pStyle w:val="4"/>
        <w:rPr>
          <w:color w:val="auto"/>
        </w:rPr>
      </w:pPr>
      <w:bookmarkStart w:id="123" w:name="_Toc23878"/>
      <w:bookmarkStart w:id="124" w:name="_Toc4200"/>
      <w:r>
        <w:rPr>
          <w:rFonts w:hint="eastAsia"/>
          <w:color w:val="auto"/>
          <w:lang w:val="en-US" w:eastAsia="zh-CN"/>
        </w:rPr>
        <w:t>2</w:t>
      </w:r>
      <w:r>
        <w:rPr>
          <w:color w:val="auto"/>
        </w:rPr>
        <w:t>.</w:t>
      </w:r>
      <w:r>
        <w:rPr>
          <w:rFonts w:hint="eastAsia"/>
          <w:color w:val="auto"/>
          <w:lang w:val="en-US" w:eastAsia="zh-CN"/>
        </w:rPr>
        <w:t>2</w:t>
      </w:r>
      <w:r>
        <w:rPr>
          <w:color w:val="auto"/>
        </w:rPr>
        <w:t xml:space="preserve"> </w:t>
      </w:r>
      <w:r>
        <w:rPr>
          <w:rFonts w:hint="eastAsia"/>
          <w:color w:val="auto"/>
          <w:lang w:eastAsia="zh-CN"/>
        </w:rPr>
        <w:t>调查</w:t>
      </w:r>
      <w:r>
        <w:rPr>
          <w:color w:val="auto"/>
        </w:rPr>
        <w:t>项目基本概况</w:t>
      </w:r>
      <w:bookmarkEnd w:id="114"/>
      <w:bookmarkEnd w:id="115"/>
      <w:bookmarkEnd w:id="116"/>
      <w:bookmarkEnd w:id="117"/>
      <w:bookmarkEnd w:id="118"/>
      <w:bookmarkEnd w:id="119"/>
      <w:bookmarkEnd w:id="120"/>
      <w:bookmarkEnd w:id="121"/>
      <w:bookmarkEnd w:id="122"/>
      <w:bookmarkEnd w:id="123"/>
      <w:bookmarkEnd w:id="124"/>
    </w:p>
    <w:p>
      <w:pPr>
        <w:pStyle w:val="5"/>
        <w:tabs>
          <w:tab w:val="left" w:pos="1620"/>
        </w:tabs>
        <w:spacing w:line="360" w:lineRule="auto"/>
        <w:rPr>
          <w:color w:val="auto"/>
        </w:rPr>
      </w:pPr>
      <w:bookmarkStart w:id="125" w:name="_Toc466554903"/>
      <w:bookmarkEnd w:id="125"/>
      <w:bookmarkStart w:id="126" w:name="_Toc466475762"/>
      <w:bookmarkEnd w:id="126"/>
      <w:bookmarkStart w:id="127" w:name="_Toc13402"/>
      <w:bookmarkStart w:id="128" w:name="_Toc23414"/>
      <w:bookmarkStart w:id="129" w:name="_Toc27652"/>
      <w:bookmarkStart w:id="130" w:name="_Toc27300"/>
      <w:bookmarkStart w:id="131" w:name="_Toc21786"/>
      <w:bookmarkStart w:id="132" w:name="_Toc7001"/>
      <w:bookmarkStart w:id="133" w:name="_Toc468624456"/>
      <w:bookmarkStart w:id="134" w:name="_Toc7219"/>
      <w:bookmarkStart w:id="135" w:name="_Toc20796"/>
      <w:r>
        <w:rPr>
          <w:rFonts w:hint="eastAsia"/>
          <w:color w:val="auto"/>
          <w:lang w:val="en-US" w:eastAsia="zh-CN"/>
        </w:rPr>
        <w:t>2</w:t>
      </w:r>
      <w:r>
        <w:rPr>
          <w:color w:val="auto"/>
        </w:rPr>
        <w:t>.</w:t>
      </w:r>
      <w:r>
        <w:rPr>
          <w:rFonts w:hint="eastAsia"/>
          <w:color w:val="auto"/>
          <w:lang w:val="en-US" w:eastAsia="zh-CN"/>
        </w:rPr>
        <w:t>2</w:t>
      </w:r>
      <w:r>
        <w:rPr>
          <w:color w:val="auto"/>
        </w:rPr>
        <w:t>.1项目名称、建设性质和建设地点</w:t>
      </w:r>
      <w:bookmarkEnd w:id="127"/>
      <w:bookmarkEnd w:id="128"/>
      <w:bookmarkEnd w:id="129"/>
      <w:bookmarkEnd w:id="130"/>
      <w:bookmarkEnd w:id="131"/>
      <w:bookmarkEnd w:id="132"/>
      <w:bookmarkEnd w:id="133"/>
      <w:bookmarkEnd w:id="134"/>
      <w:bookmarkEnd w:id="135"/>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color w:val="auto"/>
          <w:sz w:val="24"/>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1</w:t>
      </w:r>
      <w:r>
        <w:rPr>
          <w:rFonts w:hint="eastAsia" w:ascii="Times New Roman" w:hAnsi="Times New Roman" w:eastAsia="宋体" w:cs="Times New Roman"/>
          <w:color w:val="auto"/>
          <w:sz w:val="24"/>
          <w:lang w:eastAsia="zh-CN"/>
        </w:rPr>
        <w:t>）</w:t>
      </w:r>
      <w:r>
        <w:rPr>
          <w:color w:val="auto"/>
          <w:sz w:val="24"/>
        </w:rPr>
        <w:t>项目名称：</w:t>
      </w:r>
      <w:r>
        <w:rPr>
          <w:rFonts w:hint="eastAsia"/>
          <w:color w:val="auto"/>
          <w:sz w:val="24"/>
        </w:rPr>
        <w:t>池州市贵池区姚街铅锌矿年产2万吨铅锌矿石原矿采矿技改整合扩建工程项目</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both"/>
        <w:textAlignment w:val="auto"/>
        <w:outlineLvl w:val="9"/>
        <w:rPr>
          <w:rFonts w:hint="eastAsia"/>
          <w:color w:val="auto"/>
          <w:sz w:val="24"/>
          <w:lang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rFonts w:ascii="Times New Roman" w:hAnsi="Times New Roman"/>
          <w:color w:val="auto"/>
          <w:sz w:val="24"/>
        </w:rPr>
        <w:t>建设单位：</w:t>
      </w:r>
      <w:r>
        <w:rPr>
          <w:rFonts w:hint="eastAsia"/>
          <w:color w:val="auto"/>
          <w:sz w:val="24"/>
        </w:rPr>
        <w:t>池州市贵池区姚街铅锌矿</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both"/>
        <w:textAlignment w:val="auto"/>
        <w:outlineLvl w:val="9"/>
        <w:rPr>
          <w:rFonts w:hint="eastAsia"/>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color w:val="auto"/>
          <w:sz w:val="24"/>
        </w:rPr>
        <w:t>建设性质</w:t>
      </w:r>
      <w:r>
        <w:rPr>
          <w:rFonts w:hint="eastAsia"/>
          <w:color w:val="auto"/>
          <w:sz w:val="24"/>
        </w:rPr>
        <w:t>及规模</w:t>
      </w:r>
      <w:r>
        <w:rPr>
          <w:color w:val="auto"/>
          <w:sz w:val="24"/>
        </w:rPr>
        <w:t>：</w:t>
      </w:r>
      <w:r>
        <w:rPr>
          <w:rFonts w:hint="eastAsia"/>
          <w:color w:val="auto"/>
          <w:sz w:val="24"/>
        </w:rPr>
        <w:t>本项目为改扩建工程，设计开采规模为2万t/a</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both"/>
        <w:textAlignment w:val="auto"/>
        <w:outlineLvl w:val="9"/>
        <w:rPr>
          <w:rFonts w:hint="eastAsia" w:ascii="Times New Roman" w:hAnsi="Times New Roman" w:eastAsia="宋体"/>
          <w:color w:val="auto"/>
          <w:sz w:val="24"/>
          <w:lang w:val="en-US" w:eastAsia="zh-CN"/>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color w:val="auto"/>
          <w:sz w:val="24"/>
        </w:rPr>
        <w:t>项目投资：本项目总投资为</w:t>
      </w:r>
      <w:r>
        <w:rPr>
          <w:rFonts w:hint="eastAsia"/>
          <w:color w:val="auto"/>
          <w:sz w:val="24"/>
        </w:rPr>
        <w:t>380</w:t>
      </w:r>
      <w:r>
        <w:rPr>
          <w:color w:val="auto"/>
          <w:sz w:val="24"/>
        </w:rPr>
        <w:t>万元</w:t>
      </w:r>
      <w:r>
        <w:rPr>
          <w:rFonts w:hint="eastAsia"/>
          <w:color w:val="auto"/>
          <w:sz w:val="24"/>
        </w:rPr>
        <w:t>，其中，工程建设投资330万元，流动资金50万元</w:t>
      </w:r>
      <w:r>
        <w:rPr>
          <w:rFonts w:hint="eastAsia"/>
          <w:color w:val="auto"/>
          <w:sz w:val="24"/>
          <w:lang w:eastAsia="zh-CN"/>
        </w:rPr>
        <w:t>，环保投资</w:t>
      </w:r>
      <w:r>
        <w:rPr>
          <w:rFonts w:hint="eastAsia"/>
          <w:color w:val="auto"/>
          <w:sz w:val="24"/>
          <w:lang w:val="en-US" w:eastAsia="zh-CN"/>
        </w:rPr>
        <w:t>130.84万元，投资占比34.4%。</w:t>
      </w:r>
    </w:p>
    <w:p>
      <w:pPr>
        <w:pStyle w:val="2"/>
        <w:ind w:firstLine="480" w:firstLineChars="200"/>
        <w:rPr>
          <w:rFonts w:hint="eastAsia"/>
          <w:color w:val="auto"/>
          <w:sz w:val="24"/>
          <w:lang w:val="en-US" w:eastAsia="zh-CN"/>
        </w:rPr>
      </w:pPr>
      <w:r>
        <w:rPr>
          <w:rFonts w:hint="eastAsia"/>
          <w:color w:val="auto"/>
          <w:sz w:val="24"/>
          <w:lang w:eastAsia="zh-CN"/>
        </w:rPr>
        <w:t>（</w:t>
      </w:r>
      <w:r>
        <w:rPr>
          <w:rFonts w:hint="eastAsia"/>
          <w:color w:val="auto"/>
          <w:sz w:val="24"/>
          <w:lang w:val="en-US" w:eastAsia="zh-CN"/>
        </w:rPr>
        <w:t>5</w:t>
      </w:r>
      <w:r>
        <w:rPr>
          <w:rFonts w:hint="eastAsia"/>
          <w:color w:val="auto"/>
          <w:sz w:val="24"/>
          <w:lang w:eastAsia="zh-CN"/>
        </w:rPr>
        <w:t>）</w:t>
      </w:r>
      <w:r>
        <w:rPr>
          <w:rFonts w:ascii="Times New Roman" w:hAnsi="Times New Roman"/>
          <w:color w:val="auto"/>
          <w:sz w:val="24"/>
        </w:rPr>
        <w:t>项目地址：</w:t>
      </w:r>
      <w:r>
        <w:rPr>
          <w:color w:val="auto"/>
          <w:sz w:val="24"/>
        </w:rPr>
        <w:t>本项目位于</w:t>
      </w:r>
      <w:r>
        <w:rPr>
          <w:rFonts w:hint="eastAsia"/>
          <w:color w:val="auto"/>
          <w:sz w:val="24"/>
        </w:rPr>
        <w:t>池州市贵池区梅街镇姚街村境内</w:t>
      </w:r>
      <w:r>
        <w:rPr>
          <w:color w:val="auto"/>
          <w:sz w:val="24"/>
        </w:rPr>
        <w:t>，</w:t>
      </w:r>
      <w:r>
        <w:rPr>
          <w:rFonts w:hint="eastAsia"/>
          <w:color w:val="auto"/>
          <w:sz w:val="24"/>
        </w:rPr>
        <w:t>整合后的矿区中心地理坐标为：东经117</w:t>
      </w:r>
      <w:r>
        <w:rPr>
          <w:color w:val="auto"/>
          <w:sz w:val="24"/>
        </w:rPr>
        <w:t>°</w:t>
      </w:r>
      <w:r>
        <w:rPr>
          <w:rFonts w:hint="eastAsia"/>
          <w:color w:val="auto"/>
          <w:sz w:val="24"/>
        </w:rPr>
        <w:t>38</w:t>
      </w:r>
      <w:r>
        <w:rPr>
          <w:color w:val="auto"/>
          <w:sz w:val="24"/>
        </w:rPr>
        <w:t>´</w:t>
      </w:r>
      <w:r>
        <w:rPr>
          <w:rFonts w:hint="eastAsia"/>
          <w:color w:val="auto"/>
          <w:sz w:val="24"/>
        </w:rPr>
        <w:t>34</w:t>
      </w:r>
      <w:r>
        <w:rPr>
          <w:color w:val="auto"/>
          <w:sz w:val="24"/>
        </w:rPr>
        <w:t>´´</w:t>
      </w:r>
      <w:r>
        <w:rPr>
          <w:rFonts w:hint="eastAsia"/>
          <w:color w:val="auto"/>
          <w:sz w:val="24"/>
        </w:rPr>
        <w:t>，北纬30</w:t>
      </w:r>
      <w:r>
        <w:rPr>
          <w:color w:val="auto"/>
          <w:sz w:val="24"/>
        </w:rPr>
        <w:t>°</w:t>
      </w:r>
      <w:r>
        <w:rPr>
          <w:rFonts w:hint="eastAsia"/>
          <w:color w:val="auto"/>
          <w:sz w:val="24"/>
        </w:rPr>
        <w:t>24</w:t>
      </w:r>
      <w:r>
        <w:rPr>
          <w:color w:val="auto"/>
          <w:sz w:val="24"/>
        </w:rPr>
        <w:t>´</w:t>
      </w:r>
      <w:r>
        <w:rPr>
          <w:rFonts w:hint="eastAsia"/>
          <w:color w:val="auto"/>
          <w:sz w:val="24"/>
        </w:rPr>
        <w:t>52</w:t>
      </w:r>
      <w:r>
        <w:rPr>
          <w:color w:val="auto"/>
          <w:sz w:val="24"/>
        </w:rPr>
        <w:t>´´</w:t>
      </w:r>
      <w:r>
        <w:rPr>
          <w:rFonts w:hint="eastAsia"/>
          <w:color w:val="auto"/>
          <w:sz w:val="24"/>
        </w:rPr>
        <w:t>。G318国道从本项目矿山北部通过，池-梅公路从矿山西部通过，矿山有乡村公路直通梅街镇并与G318国道相接，交通方便</w:t>
      </w:r>
      <w:r>
        <w:rPr>
          <w:color w:val="auto"/>
          <w:sz w:val="24"/>
        </w:rPr>
        <w:t>。具体地理位置见图</w:t>
      </w:r>
      <w:r>
        <w:rPr>
          <w:rFonts w:hint="eastAsia"/>
          <w:color w:val="auto"/>
          <w:sz w:val="24"/>
          <w:lang w:val="en-US" w:eastAsia="zh-CN"/>
        </w:rPr>
        <w:t>2.2-1。</w:t>
      </w:r>
    </w:p>
    <w:p>
      <w:pPr>
        <w:pStyle w:val="2"/>
        <w:jc w:val="both"/>
        <w:rPr>
          <w:rFonts w:hint="eastAsia" w:ascii="宋体" w:hAnsi="宋体"/>
          <w:color w:val="auto"/>
        </w:rPr>
      </w:pPr>
      <w:r>
        <w:rPr>
          <w:rFonts w:hint="eastAsia" w:ascii="宋体" w:hAnsi="宋体"/>
          <w:color w:val="auto"/>
        </w:rPr>
        <w:drawing>
          <wp:inline distT="0" distB="0" distL="114300" distR="114300">
            <wp:extent cx="5319395" cy="4531360"/>
            <wp:effectExtent l="0" t="0" r="14605" b="2540"/>
            <wp:docPr id="89" name="图片 1" descr="姚街铅锌矿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descr="姚街铅锌矿a"/>
                    <pic:cNvPicPr>
                      <a:picLocks noChangeAspect="1"/>
                    </pic:cNvPicPr>
                  </pic:nvPicPr>
                  <pic:blipFill>
                    <a:blip r:embed="rId13"/>
                    <a:srcRect t="3047" b="3700"/>
                    <a:stretch>
                      <a:fillRect/>
                    </a:stretch>
                  </pic:blipFill>
                  <pic:spPr>
                    <a:xfrm>
                      <a:off x="0" y="0"/>
                      <a:ext cx="5319395" cy="4531360"/>
                    </a:xfrm>
                    <a:prstGeom prst="rect">
                      <a:avLst/>
                    </a:prstGeom>
                    <a:noFill/>
                    <a:ln w="9525">
                      <a:noFill/>
                    </a:ln>
                  </pic:spPr>
                </pic:pic>
              </a:graphicData>
            </a:graphic>
          </wp:inline>
        </w:drawing>
      </w:r>
    </w:p>
    <w:p>
      <w:pPr>
        <w:pStyle w:val="2"/>
        <w:jc w:val="center"/>
        <w:rPr>
          <w:rFonts w:hint="default" w:ascii="Times New Roman" w:hAnsi="Times New Roman" w:cs="Times New Roman"/>
          <w:b/>
          <w:bCs/>
          <w:color w:val="auto"/>
          <w:kern w:val="0"/>
          <w:sz w:val="21"/>
          <w:szCs w:val="21"/>
          <w:lang w:val="en-US" w:eastAsia="zh-CN" w:bidi="ar"/>
        </w:rPr>
      </w:pPr>
      <w:r>
        <w:rPr>
          <w:rFonts w:hint="default" w:ascii="Times New Roman" w:hAnsi="Times New Roman" w:cs="Times New Roman"/>
          <w:b/>
          <w:bCs/>
          <w:color w:val="auto"/>
          <w:kern w:val="0"/>
          <w:sz w:val="21"/>
          <w:szCs w:val="21"/>
          <w:lang w:val="en-US" w:eastAsia="zh-CN" w:bidi="ar"/>
        </w:rPr>
        <w:t>图</w:t>
      </w:r>
      <w:r>
        <w:rPr>
          <w:rFonts w:hint="eastAsia" w:cs="Times New Roman"/>
          <w:b/>
          <w:bCs/>
          <w:color w:val="auto"/>
          <w:kern w:val="0"/>
          <w:sz w:val="21"/>
          <w:szCs w:val="21"/>
          <w:lang w:val="en-US" w:eastAsia="zh-CN" w:bidi="ar"/>
        </w:rPr>
        <w:t>2</w:t>
      </w:r>
      <w:r>
        <w:rPr>
          <w:rFonts w:hint="default" w:ascii="Times New Roman" w:hAnsi="Times New Roman" w:cs="Times New Roman"/>
          <w:b/>
          <w:bCs/>
          <w:color w:val="auto"/>
          <w:kern w:val="0"/>
          <w:sz w:val="21"/>
          <w:szCs w:val="21"/>
          <w:lang w:val="en-US" w:eastAsia="zh-CN" w:bidi="ar"/>
        </w:rPr>
        <w:t>.</w:t>
      </w:r>
      <w:r>
        <w:rPr>
          <w:rFonts w:hint="eastAsia" w:cs="Times New Roman"/>
          <w:b/>
          <w:bCs/>
          <w:color w:val="auto"/>
          <w:kern w:val="0"/>
          <w:sz w:val="21"/>
          <w:szCs w:val="21"/>
          <w:lang w:val="en-US" w:eastAsia="zh-CN" w:bidi="ar"/>
        </w:rPr>
        <w:t>2-1</w:t>
      </w:r>
      <w:r>
        <w:rPr>
          <w:rFonts w:hint="default" w:ascii="Times New Roman" w:hAnsi="Times New Roman" w:cs="Times New Roman"/>
          <w:b/>
          <w:bCs/>
          <w:color w:val="auto"/>
          <w:kern w:val="0"/>
          <w:sz w:val="21"/>
          <w:szCs w:val="21"/>
          <w:lang w:val="en-US" w:eastAsia="zh-CN" w:bidi="ar"/>
        </w:rPr>
        <w:t xml:space="preserve"> 项目地理位置图</w:t>
      </w:r>
    </w:p>
    <w:p>
      <w:pPr>
        <w:pStyle w:val="5"/>
        <w:rPr>
          <w:color w:val="auto"/>
        </w:rPr>
      </w:pPr>
      <w:r>
        <w:rPr>
          <w:rFonts w:hint="eastAsia"/>
          <w:color w:val="auto"/>
          <w:lang w:val="en-US" w:eastAsia="zh-CN"/>
        </w:rPr>
        <w:t>2</w:t>
      </w:r>
      <w:r>
        <w:rPr>
          <w:color w:val="auto"/>
        </w:rPr>
        <w:t>.2</w:t>
      </w:r>
      <w:r>
        <w:rPr>
          <w:rFonts w:hint="eastAsia"/>
          <w:color w:val="auto"/>
          <w:lang w:val="en-US" w:eastAsia="zh-CN"/>
        </w:rPr>
        <w:t>.2</w:t>
      </w:r>
      <w:r>
        <w:rPr>
          <w:color w:val="auto"/>
        </w:rPr>
        <w:t>项目基本组成和建设内容</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color w:val="auto"/>
        </w:rPr>
      </w:pPr>
      <w:bookmarkStart w:id="136" w:name="_Toc468624459"/>
      <w:r>
        <w:rPr>
          <w:color w:val="auto"/>
          <w:sz w:val="24"/>
        </w:rPr>
        <w:t>本项目建设内容</w:t>
      </w:r>
      <w:r>
        <w:rPr>
          <w:rFonts w:hint="eastAsia"/>
          <w:color w:val="auto"/>
          <w:sz w:val="24"/>
        </w:rPr>
        <w:t>包括通风系统、巷道开拓工程、公用工程（包括排水等）等，采矿规模为2万t/a；</w:t>
      </w:r>
      <w:r>
        <w:rPr>
          <w:color w:val="auto"/>
          <w:sz w:val="24"/>
        </w:rPr>
        <w:t>环保工程（包括</w:t>
      </w:r>
      <w:r>
        <w:rPr>
          <w:rFonts w:hint="eastAsia"/>
          <w:color w:val="auto"/>
          <w:sz w:val="24"/>
        </w:rPr>
        <w:t>湿式</w:t>
      </w:r>
      <w:r>
        <w:rPr>
          <w:color w:val="auto"/>
          <w:sz w:val="24"/>
        </w:rPr>
        <w:t>除尘、</w:t>
      </w:r>
      <w:r>
        <w:rPr>
          <w:rFonts w:hint="eastAsia"/>
          <w:color w:val="auto"/>
          <w:sz w:val="24"/>
        </w:rPr>
        <w:t>矿坑涌水</w:t>
      </w:r>
      <w:r>
        <w:rPr>
          <w:color w:val="auto"/>
          <w:sz w:val="24"/>
        </w:rPr>
        <w:t>及生活污水处理、噪声防治、固废处置和矿山生态恢复等）</w:t>
      </w:r>
      <w:r>
        <w:rPr>
          <w:rFonts w:hint="eastAsia"/>
          <w:color w:val="auto"/>
          <w:sz w:val="24"/>
        </w:rPr>
        <w:t>；</w:t>
      </w:r>
      <w:r>
        <w:rPr>
          <w:color w:val="auto"/>
        </w:rPr>
        <w:t>项目建设内容组成</w:t>
      </w:r>
      <w:r>
        <w:rPr>
          <w:color w:val="auto"/>
          <w:sz w:val="24"/>
        </w:rPr>
        <w:t>见表</w:t>
      </w:r>
      <w:r>
        <w:rPr>
          <w:rFonts w:hint="eastAsia"/>
          <w:color w:val="auto"/>
          <w:sz w:val="24"/>
          <w:lang w:val="en-US" w:eastAsia="zh-CN"/>
        </w:rPr>
        <w:t>2.2-1</w:t>
      </w:r>
      <w:r>
        <w:rPr>
          <w:color w:val="auto"/>
          <w:sz w:val="24"/>
        </w:rPr>
        <w:t>。</w:t>
      </w:r>
      <w:bookmarkEnd w:id="136"/>
    </w:p>
    <w:p>
      <w:pPr>
        <w:spacing w:line="360" w:lineRule="auto"/>
        <w:jc w:val="center"/>
        <w:outlineLvl w:val="9"/>
        <w:rPr>
          <w:b/>
          <w:bCs/>
          <w:color w:val="auto"/>
          <w:sz w:val="21"/>
          <w:szCs w:val="21"/>
        </w:rPr>
      </w:pPr>
      <w:bookmarkStart w:id="137" w:name="_Toc22011"/>
      <w:bookmarkStart w:id="138" w:name="_Toc10468"/>
      <w:bookmarkStart w:id="139" w:name="_Toc14185"/>
      <w:bookmarkStart w:id="140" w:name="_Toc468625624"/>
      <w:bookmarkStart w:id="141" w:name="_Toc5833"/>
      <w:bookmarkStart w:id="142" w:name="_Toc468625578"/>
      <w:bookmarkStart w:id="143" w:name="_Toc13721"/>
      <w:bookmarkStart w:id="144" w:name="_Toc12720"/>
      <w:bookmarkStart w:id="145" w:name="_Toc24299"/>
      <w:bookmarkStart w:id="146" w:name="_Toc468624460"/>
      <w:bookmarkStart w:id="147" w:name="_Toc12280"/>
      <w:r>
        <w:rPr>
          <w:b/>
          <w:bCs/>
          <w:color w:val="auto"/>
          <w:sz w:val="21"/>
          <w:szCs w:val="21"/>
        </w:rPr>
        <w:t>表</w:t>
      </w:r>
      <w:r>
        <w:rPr>
          <w:rFonts w:hint="eastAsia"/>
          <w:b/>
          <w:bCs/>
          <w:color w:val="auto"/>
          <w:sz w:val="21"/>
          <w:szCs w:val="21"/>
          <w:lang w:val="en-US" w:eastAsia="zh-CN"/>
        </w:rPr>
        <w:t>2.2</w:t>
      </w:r>
      <w:r>
        <w:rPr>
          <w:b/>
          <w:bCs/>
          <w:color w:val="auto"/>
          <w:sz w:val="21"/>
          <w:szCs w:val="21"/>
        </w:rPr>
        <w:t>-1 工程建设内容组成一览表</w:t>
      </w:r>
      <w:bookmarkEnd w:id="137"/>
      <w:bookmarkEnd w:id="138"/>
      <w:bookmarkEnd w:id="139"/>
      <w:bookmarkEnd w:id="140"/>
      <w:bookmarkEnd w:id="141"/>
      <w:bookmarkEnd w:id="142"/>
      <w:bookmarkEnd w:id="143"/>
      <w:bookmarkEnd w:id="144"/>
      <w:bookmarkEnd w:id="145"/>
      <w:bookmarkEnd w:id="146"/>
      <w:bookmarkEnd w:id="147"/>
    </w:p>
    <w:tbl>
      <w:tblPr>
        <w:tblStyle w:val="16"/>
        <w:tblW w:w="9071" w:type="dxa"/>
        <w:jc w:val="center"/>
        <w:tblInd w:w="10" w:type="dxa"/>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679"/>
        <w:gridCol w:w="1344"/>
        <w:gridCol w:w="2993"/>
        <w:gridCol w:w="2993"/>
        <w:gridCol w:w="1062"/>
      </w:tblGrid>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298" w:hRule="atLeast"/>
          <w:jc w:val="center"/>
        </w:trPr>
        <w:tc>
          <w:tcPr>
            <w:tcW w:w="67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b/>
                <w:bCs/>
                <w:color w:val="auto"/>
                <w:sz w:val="21"/>
                <w:szCs w:val="21"/>
              </w:rPr>
            </w:pPr>
            <w:r>
              <w:rPr>
                <w:rFonts w:hint="default"/>
                <w:b/>
                <w:bCs/>
                <w:color w:val="auto"/>
                <w:sz w:val="21"/>
                <w:szCs w:val="21"/>
              </w:rPr>
              <w:t>工程类别</w:t>
            </w:r>
          </w:p>
        </w:tc>
        <w:tc>
          <w:tcPr>
            <w:tcW w:w="134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b/>
                <w:bCs/>
                <w:color w:val="auto"/>
                <w:sz w:val="21"/>
                <w:szCs w:val="21"/>
              </w:rPr>
            </w:pPr>
            <w:r>
              <w:rPr>
                <w:rFonts w:hint="default"/>
                <w:b/>
                <w:bCs/>
                <w:color w:val="auto"/>
                <w:sz w:val="21"/>
                <w:szCs w:val="21"/>
              </w:rPr>
              <w:t>单项工程</w:t>
            </w:r>
          </w:p>
          <w:p>
            <w:pPr>
              <w:keepNext w:val="0"/>
              <w:keepLines w:val="0"/>
              <w:suppressLineNumbers w:val="0"/>
              <w:spacing w:before="0" w:beforeAutospacing="0" w:after="0" w:afterAutospacing="0" w:line="240" w:lineRule="auto"/>
              <w:ind w:left="0" w:right="0"/>
              <w:jc w:val="center"/>
              <w:rPr>
                <w:rFonts w:hint="default"/>
                <w:b/>
                <w:bCs/>
                <w:color w:val="auto"/>
                <w:sz w:val="21"/>
                <w:szCs w:val="21"/>
              </w:rPr>
            </w:pPr>
            <w:r>
              <w:rPr>
                <w:rFonts w:hint="default"/>
                <w:b/>
                <w:bCs/>
                <w:color w:val="auto"/>
                <w:sz w:val="21"/>
                <w:szCs w:val="21"/>
              </w:rPr>
              <w:t>名称</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b/>
                <w:bCs/>
                <w:color w:val="auto"/>
                <w:sz w:val="21"/>
                <w:szCs w:val="21"/>
              </w:rPr>
            </w:pPr>
            <w:r>
              <w:rPr>
                <w:rFonts w:hint="eastAsia"/>
                <w:b/>
                <w:bCs/>
                <w:color w:val="auto"/>
                <w:sz w:val="21"/>
                <w:szCs w:val="21"/>
                <w:lang w:eastAsia="zh-CN"/>
              </w:rPr>
              <w:t>环评</w:t>
            </w:r>
            <w:r>
              <w:rPr>
                <w:rFonts w:hint="default"/>
                <w:b/>
                <w:bCs/>
                <w:color w:val="auto"/>
                <w:sz w:val="21"/>
                <w:szCs w:val="21"/>
              </w:rPr>
              <w:t>内容</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eastAsia="宋体"/>
                <w:b/>
                <w:bCs/>
                <w:color w:val="auto"/>
                <w:sz w:val="21"/>
                <w:szCs w:val="21"/>
                <w:lang w:eastAsia="zh-CN"/>
              </w:rPr>
            </w:pPr>
            <w:r>
              <w:rPr>
                <w:rFonts w:hint="eastAsia"/>
                <w:b/>
                <w:bCs/>
                <w:color w:val="auto"/>
                <w:sz w:val="21"/>
                <w:szCs w:val="21"/>
                <w:lang w:eastAsia="zh-CN"/>
              </w:rPr>
              <w:t>实际内容</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b/>
                <w:bCs/>
                <w:color w:val="auto"/>
                <w:sz w:val="21"/>
                <w:szCs w:val="21"/>
              </w:rPr>
            </w:pPr>
            <w:r>
              <w:rPr>
                <w:rFonts w:hint="default"/>
                <w:b/>
                <w:bCs/>
                <w:color w:val="auto"/>
                <w:sz w:val="21"/>
                <w:szCs w:val="21"/>
              </w:rPr>
              <w:t>工程</w:t>
            </w:r>
          </w:p>
          <w:p>
            <w:pPr>
              <w:keepNext w:val="0"/>
              <w:keepLines w:val="0"/>
              <w:suppressLineNumbers w:val="0"/>
              <w:spacing w:before="0" w:beforeAutospacing="0" w:after="0" w:afterAutospacing="0" w:line="240" w:lineRule="auto"/>
              <w:ind w:left="0" w:right="0"/>
              <w:jc w:val="center"/>
              <w:rPr>
                <w:rFonts w:hint="default"/>
                <w:b/>
                <w:bCs/>
                <w:color w:val="auto"/>
                <w:sz w:val="21"/>
                <w:szCs w:val="21"/>
              </w:rPr>
            </w:pPr>
            <w:r>
              <w:rPr>
                <w:rFonts w:hint="default"/>
                <w:b/>
                <w:bCs/>
                <w:color w:val="auto"/>
                <w:sz w:val="21"/>
                <w:szCs w:val="21"/>
              </w:rPr>
              <w:t>性质</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70" w:hRule="atLeast"/>
          <w:jc w:val="center"/>
        </w:trPr>
        <w:tc>
          <w:tcPr>
            <w:tcW w:w="679"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主体</w:t>
            </w:r>
          </w:p>
          <w:p>
            <w:pPr>
              <w:keepNext w:val="0"/>
              <w:keepLines w:val="0"/>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工程</w:t>
            </w:r>
          </w:p>
        </w:tc>
        <w:tc>
          <w:tcPr>
            <w:tcW w:w="134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采矿工程</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eastAsia"/>
                <w:color w:val="auto"/>
                <w:sz w:val="21"/>
                <w:szCs w:val="21"/>
              </w:rPr>
            </w:pPr>
            <w:r>
              <w:rPr>
                <w:rFonts w:hint="eastAsia"/>
                <w:color w:val="auto"/>
                <w:sz w:val="21"/>
                <w:szCs w:val="21"/>
              </w:rPr>
              <w:t>采矿规模为：年开采2万</w:t>
            </w:r>
            <w:r>
              <w:rPr>
                <w:rFonts w:hint="eastAsia"/>
                <w:color w:val="auto"/>
                <w:sz w:val="21"/>
                <w:szCs w:val="21"/>
                <w:lang w:eastAsia="zh-CN"/>
              </w:rPr>
              <w:t>吨</w:t>
            </w:r>
            <w:r>
              <w:rPr>
                <w:rFonts w:hint="eastAsia"/>
                <w:snapToGrid w:val="0"/>
                <w:color w:val="auto"/>
                <w:sz w:val="21"/>
                <w:szCs w:val="21"/>
              </w:rPr>
              <w:t>铅锌矿</w:t>
            </w:r>
            <w:r>
              <w:rPr>
                <w:rFonts w:hint="default"/>
                <w:snapToGrid w:val="0"/>
                <w:color w:val="auto"/>
                <w:sz w:val="21"/>
                <w:szCs w:val="21"/>
              </w:rPr>
              <w:t>原矿</w:t>
            </w:r>
            <w:r>
              <w:rPr>
                <w:rFonts w:hint="eastAsia"/>
                <w:color w:val="auto"/>
                <w:sz w:val="21"/>
                <w:szCs w:val="21"/>
              </w:rPr>
              <w:t>。包括通风系统、开采巷道等，具体为主斜井延伸至+55m中段，延伸长度为38.6m；1号斜井延伸至+89m中段与</w:t>
            </w:r>
            <w:r>
              <w:rPr>
                <w:rFonts w:hint="eastAsia" w:ascii="宋体" w:hAnsi="宋体" w:eastAsia="宋体" w:cs="宋体"/>
                <w:color w:val="auto"/>
                <w:sz w:val="21"/>
                <w:szCs w:val="21"/>
              </w:rPr>
              <w:t>Ⅳ</w:t>
            </w:r>
            <w:r>
              <w:rPr>
                <w:rFonts w:hint="eastAsia"/>
                <w:color w:val="auto"/>
                <w:sz w:val="21"/>
                <w:szCs w:val="21"/>
              </w:rPr>
              <w:t>号矿体+89m坑道贯通，使之成为</w:t>
            </w:r>
            <w:r>
              <w:rPr>
                <w:rFonts w:hint="eastAsia" w:ascii="宋体" w:hAnsi="宋体"/>
                <w:color w:val="auto"/>
                <w:sz w:val="21"/>
                <w:szCs w:val="21"/>
              </w:rPr>
              <w:t>Ⅳ</w:t>
            </w:r>
            <w:r>
              <w:rPr>
                <w:rFonts w:hint="eastAsia"/>
                <w:color w:val="auto"/>
                <w:sz w:val="21"/>
                <w:szCs w:val="21"/>
              </w:rPr>
              <w:t>号矿体的北翼通风斜井；，</w:t>
            </w:r>
            <w:r>
              <w:rPr>
                <w:rFonts w:hint="eastAsia" w:ascii="宋体" w:hAnsi="宋体"/>
                <w:color w:val="auto"/>
                <w:sz w:val="21"/>
                <w:szCs w:val="21"/>
              </w:rPr>
              <w:t>Ⅳ</w:t>
            </w:r>
            <w:r>
              <w:rPr>
                <w:rFonts w:hint="eastAsia"/>
                <w:color w:val="auto"/>
                <w:sz w:val="21"/>
                <w:szCs w:val="21"/>
              </w:rPr>
              <w:t>号矿体+55m中段沿脉坑道自主斜井井底车场向东北和西南两翼施工，全长300m；布置3-4条人行通风上山至+71m中段；在+55m中段主斜井井底车场附近建设排水站。本项目局扇风机总风量为10.2</w:t>
            </w:r>
            <w:r>
              <w:rPr>
                <w:rFonts w:hint="default"/>
                <w:color w:val="auto"/>
                <w:sz w:val="21"/>
                <w:szCs w:val="21"/>
              </w:rPr>
              <w:t>m</w:t>
            </w:r>
            <w:r>
              <w:rPr>
                <w:rFonts w:hint="default"/>
                <w:color w:val="auto"/>
                <w:sz w:val="21"/>
                <w:szCs w:val="21"/>
                <w:vertAlign w:val="superscript"/>
              </w:rPr>
              <w:t>3</w:t>
            </w:r>
            <w:r>
              <w:rPr>
                <w:rFonts w:hint="eastAsia"/>
                <w:color w:val="auto"/>
                <w:sz w:val="21"/>
                <w:szCs w:val="21"/>
              </w:rPr>
              <w:t>/s</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rPr>
                <w:rFonts w:hint="eastAsia"/>
                <w:color w:val="auto"/>
                <w:sz w:val="21"/>
                <w:szCs w:val="21"/>
              </w:rPr>
            </w:pPr>
            <w:r>
              <w:rPr>
                <w:rFonts w:hint="eastAsia"/>
                <w:color w:val="auto"/>
                <w:sz w:val="21"/>
                <w:szCs w:val="21"/>
              </w:rPr>
              <w:t>采矿规模为：年开采2万</w:t>
            </w:r>
            <w:r>
              <w:rPr>
                <w:rFonts w:hint="eastAsia"/>
                <w:color w:val="auto"/>
                <w:sz w:val="21"/>
                <w:szCs w:val="21"/>
                <w:lang w:eastAsia="zh-CN"/>
              </w:rPr>
              <w:t>吨</w:t>
            </w:r>
            <w:r>
              <w:rPr>
                <w:rFonts w:hint="eastAsia"/>
                <w:snapToGrid w:val="0"/>
                <w:color w:val="auto"/>
                <w:sz w:val="21"/>
                <w:szCs w:val="21"/>
              </w:rPr>
              <w:t>铅锌矿</w:t>
            </w:r>
            <w:r>
              <w:rPr>
                <w:rFonts w:hint="default"/>
                <w:snapToGrid w:val="0"/>
                <w:color w:val="auto"/>
                <w:sz w:val="21"/>
                <w:szCs w:val="21"/>
              </w:rPr>
              <w:t>原矿</w:t>
            </w:r>
            <w:r>
              <w:rPr>
                <w:rFonts w:hint="eastAsia"/>
                <w:color w:val="auto"/>
                <w:sz w:val="21"/>
                <w:szCs w:val="21"/>
              </w:rPr>
              <w:t>。包括通风系统、开采巷道等，具体为主斜井延伸至+55m中段，延伸长度为38.6m；1号斜井延伸至+89m中段与</w:t>
            </w:r>
            <w:r>
              <w:rPr>
                <w:rFonts w:hint="eastAsia" w:ascii="宋体" w:hAnsi="宋体" w:eastAsia="宋体" w:cs="宋体"/>
                <w:color w:val="auto"/>
                <w:sz w:val="21"/>
                <w:szCs w:val="21"/>
              </w:rPr>
              <w:t>Ⅳ</w:t>
            </w:r>
            <w:r>
              <w:rPr>
                <w:rFonts w:hint="eastAsia"/>
                <w:color w:val="auto"/>
                <w:sz w:val="21"/>
                <w:szCs w:val="21"/>
              </w:rPr>
              <w:t>号矿体+89m坑道贯通，使之成为</w:t>
            </w:r>
            <w:r>
              <w:rPr>
                <w:rFonts w:hint="eastAsia" w:ascii="宋体" w:hAnsi="宋体"/>
                <w:color w:val="auto"/>
                <w:sz w:val="21"/>
                <w:szCs w:val="21"/>
              </w:rPr>
              <w:t>Ⅳ</w:t>
            </w:r>
            <w:r>
              <w:rPr>
                <w:rFonts w:hint="eastAsia"/>
                <w:color w:val="auto"/>
                <w:sz w:val="21"/>
                <w:szCs w:val="21"/>
              </w:rPr>
              <w:t>号矿体的北翼通风斜井；，</w:t>
            </w:r>
            <w:r>
              <w:rPr>
                <w:rFonts w:hint="eastAsia" w:ascii="宋体" w:hAnsi="宋体"/>
                <w:color w:val="auto"/>
                <w:sz w:val="21"/>
                <w:szCs w:val="21"/>
              </w:rPr>
              <w:t>Ⅳ</w:t>
            </w:r>
            <w:r>
              <w:rPr>
                <w:rFonts w:hint="eastAsia"/>
                <w:color w:val="auto"/>
                <w:sz w:val="21"/>
                <w:szCs w:val="21"/>
              </w:rPr>
              <w:t>号矿体+55m中段沿脉坑道自主斜井井底车场向东北和西南两翼施工，全长300m；布置3-4条人行通风上山至+71m中段；在+55m中段主斜井井底车场附近建设排水站。本项目局扇风机总风量为10.2</w:t>
            </w:r>
            <w:r>
              <w:rPr>
                <w:rFonts w:hint="default"/>
                <w:color w:val="auto"/>
                <w:sz w:val="21"/>
                <w:szCs w:val="21"/>
              </w:rPr>
              <w:t>m</w:t>
            </w:r>
            <w:r>
              <w:rPr>
                <w:rFonts w:hint="default"/>
                <w:color w:val="auto"/>
                <w:sz w:val="21"/>
                <w:szCs w:val="21"/>
                <w:vertAlign w:val="superscript"/>
              </w:rPr>
              <w:t>3</w:t>
            </w:r>
            <w:r>
              <w:rPr>
                <w:rFonts w:hint="eastAsia"/>
                <w:color w:val="auto"/>
                <w:sz w:val="21"/>
                <w:szCs w:val="21"/>
              </w:rPr>
              <w:t>/s</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eastAsia="宋体"/>
                <w:color w:val="auto"/>
                <w:sz w:val="21"/>
                <w:szCs w:val="21"/>
                <w:lang w:val="en-US" w:eastAsia="zh-CN"/>
              </w:rPr>
            </w:pPr>
            <w:r>
              <w:rPr>
                <w:rFonts w:hint="eastAsia"/>
                <w:color w:val="auto"/>
                <w:sz w:val="21"/>
                <w:szCs w:val="21"/>
                <w:lang w:val="en-US" w:eastAsia="zh-CN"/>
              </w:rPr>
              <w:t>改造、扩建</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920" w:hRule="atLeast"/>
          <w:jc w:val="center"/>
        </w:trPr>
        <w:tc>
          <w:tcPr>
            <w:tcW w:w="679"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eastAsia"/>
                <w:color w:val="auto"/>
                <w:sz w:val="21"/>
                <w:szCs w:val="21"/>
              </w:rPr>
            </w:pPr>
            <w:r>
              <w:rPr>
                <w:rFonts w:hint="eastAsia"/>
                <w:color w:val="auto"/>
                <w:sz w:val="21"/>
                <w:szCs w:val="21"/>
              </w:rPr>
              <w:t>辅助工程</w:t>
            </w:r>
          </w:p>
        </w:tc>
        <w:tc>
          <w:tcPr>
            <w:tcW w:w="134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矿石堆场、提升机房等</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eastAsia"/>
                <w:color w:val="auto"/>
                <w:sz w:val="21"/>
                <w:szCs w:val="21"/>
              </w:rPr>
            </w:pPr>
            <w:r>
              <w:rPr>
                <w:rFonts w:hint="eastAsia"/>
                <w:color w:val="auto"/>
                <w:sz w:val="21"/>
                <w:szCs w:val="21"/>
              </w:rPr>
              <w:t>矿石堆场位于场地的南侧；提升机房位于矿区内西侧；</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rPr>
                <w:rFonts w:hint="eastAsia"/>
                <w:color w:val="auto"/>
                <w:sz w:val="21"/>
                <w:szCs w:val="21"/>
              </w:rPr>
            </w:pPr>
            <w:r>
              <w:rPr>
                <w:rFonts w:hint="eastAsia"/>
                <w:color w:val="auto"/>
                <w:sz w:val="21"/>
                <w:szCs w:val="21"/>
                <w:lang w:val="en-US" w:eastAsia="zh-CN"/>
              </w:rPr>
              <w:t>取消矿石堆场，进行生态恢复</w:t>
            </w:r>
            <w:r>
              <w:rPr>
                <w:rFonts w:hint="eastAsia"/>
                <w:color w:val="auto"/>
                <w:sz w:val="21"/>
                <w:szCs w:val="21"/>
              </w:rPr>
              <w:t>；提升机房位于矿区内西侧；</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eastAsia="宋体"/>
                <w:color w:val="auto"/>
                <w:sz w:val="21"/>
                <w:szCs w:val="21"/>
                <w:lang w:eastAsia="zh-CN"/>
              </w:rPr>
            </w:pPr>
            <w:r>
              <w:rPr>
                <w:rFonts w:hint="eastAsia"/>
                <w:color w:val="auto"/>
                <w:sz w:val="21"/>
                <w:szCs w:val="21"/>
                <w:lang w:eastAsia="zh-CN"/>
              </w:rPr>
              <w:t>改造</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440" w:hRule="atLeast"/>
          <w:jc w:val="center"/>
        </w:trPr>
        <w:tc>
          <w:tcPr>
            <w:tcW w:w="679"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储运</w:t>
            </w:r>
          </w:p>
          <w:p>
            <w:pPr>
              <w:keepNext w:val="0"/>
              <w:keepLines w:val="0"/>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工程</w:t>
            </w:r>
          </w:p>
        </w:tc>
        <w:tc>
          <w:tcPr>
            <w:tcW w:w="134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snapToGrid w:val="0"/>
                <w:color w:val="auto"/>
                <w:sz w:val="21"/>
                <w:szCs w:val="21"/>
              </w:rPr>
              <w:t>交通运输</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eastAsia"/>
                <w:snapToGrid w:val="0"/>
                <w:color w:val="auto"/>
                <w:sz w:val="21"/>
                <w:szCs w:val="21"/>
              </w:rPr>
            </w:pPr>
            <w:r>
              <w:rPr>
                <w:rFonts w:hint="eastAsia"/>
                <w:snapToGrid w:val="0"/>
                <w:color w:val="auto"/>
                <w:sz w:val="21"/>
                <w:szCs w:val="21"/>
              </w:rPr>
              <w:t>有乡村公路通往采矿区，外部运输采用汽车</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rPr>
                <w:rFonts w:hint="eastAsia"/>
                <w:snapToGrid w:val="0"/>
                <w:color w:val="auto"/>
                <w:sz w:val="21"/>
                <w:szCs w:val="21"/>
              </w:rPr>
            </w:pPr>
            <w:r>
              <w:rPr>
                <w:rFonts w:hint="eastAsia"/>
                <w:snapToGrid w:val="0"/>
                <w:color w:val="auto"/>
                <w:sz w:val="21"/>
                <w:szCs w:val="21"/>
              </w:rPr>
              <w:t>有乡村公路通往采矿区，</w:t>
            </w:r>
            <w:r>
              <w:rPr>
                <w:rFonts w:hint="eastAsia"/>
                <w:snapToGrid w:val="0"/>
                <w:color w:val="auto"/>
                <w:sz w:val="21"/>
                <w:szCs w:val="21"/>
                <w:lang w:eastAsia="zh-CN"/>
              </w:rPr>
              <w:t>地面已硬化，</w:t>
            </w:r>
            <w:r>
              <w:rPr>
                <w:rFonts w:hint="eastAsia"/>
                <w:snapToGrid w:val="0"/>
                <w:color w:val="auto"/>
                <w:sz w:val="21"/>
                <w:szCs w:val="21"/>
              </w:rPr>
              <w:t>外部运输采用</w:t>
            </w:r>
            <w:r>
              <w:rPr>
                <w:rFonts w:hint="eastAsia"/>
                <w:snapToGrid w:val="0"/>
                <w:color w:val="auto"/>
                <w:sz w:val="21"/>
                <w:szCs w:val="21"/>
                <w:lang w:eastAsia="zh-CN"/>
              </w:rPr>
              <w:t>农用</w:t>
            </w:r>
            <w:r>
              <w:rPr>
                <w:rFonts w:hint="eastAsia"/>
                <w:snapToGrid w:val="0"/>
                <w:color w:val="auto"/>
                <w:sz w:val="21"/>
                <w:szCs w:val="21"/>
              </w:rPr>
              <w:t>车</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eastAsia="宋体"/>
                <w:color w:val="auto"/>
                <w:sz w:val="21"/>
                <w:szCs w:val="21"/>
                <w:lang w:eastAsia="zh-CN"/>
              </w:rPr>
            </w:pPr>
            <w:r>
              <w:rPr>
                <w:rFonts w:hint="eastAsia"/>
                <w:color w:val="auto"/>
                <w:sz w:val="21"/>
                <w:szCs w:val="21"/>
                <w:lang w:eastAsia="zh-CN"/>
              </w:rPr>
              <w:t>改造</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4" w:hRule="atLeast"/>
          <w:jc w:val="center"/>
        </w:trPr>
        <w:tc>
          <w:tcPr>
            <w:tcW w:w="679"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p>
        </w:tc>
        <w:tc>
          <w:tcPr>
            <w:tcW w:w="1344" w:type="dxa"/>
            <w:tcBorders>
              <w:tl2br w:val="nil"/>
              <w:tr2bl w:val="nil"/>
            </w:tcBorders>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color w:val="auto"/>
                <w:sz w:val="21"/>
                <w:szCs w:val="21"/>
              </w:rPr>
            </w:pPr>
            <w:r>
              <w:rPr>
                <w:rFonts w:hint="eastAsia"/>
                <w:color w:val="auto"/>
                <w:sz w:val="21"/>
                <w:szCs w:val="21"/>
              </w:rPr>
              <w:t>炸药</w:t>
            </w:r>
            <w:r>
              <w:rPr>
                <w:rFonts w:hint="default"/>
                <w:color w:val="auto"/>
                <w:sz w:val="21"/>
                <w:szCs w:val="21"/>
              </w:rPr>
              <w:t>库</w:t>
            </w:r>
          </w:p>
        </w:tc>
        <w:tc>
          <w:tcPr>
            <w:tcW w:w="2993" w:type="dxa"/>
            <w:tcBorders>
              <w:tl2br w:val="nil"/>
              <w:tr2bl w:val="nil"/>
            </w:tcBorders>
            <w:vAlign w:val="center"/>
          </w:tcPr>
          <w:p>
            <w:pPr>
              <w:keepNext w:val="0"/>
              <w:keepLines w:val="0"/>
              <w:suppressLineNumbers w:val="0"/>
              <w:autoSpaceDE w:val="0"/>
              <w:autoSpaceDN w:val="0"/>
              <w:adjustRightInd w:val="0"/>
              <w:snapToGrid w:val="0"/>
              <w:spacing w:before="0" w:beforeAutospacing="0" w:after="0" w:afterAutospacing="0" w:line="240" w:lineRule="auto"/>
              <w:ind w:left="0" w:right="0"/>
              <w:rPr>
                <w:rFonts w:hint="eastAsia"/>
                <w:color w:val="auto"/>
                <w:sz w:val="21"/>
                <w:szCs w:val="21"/>
              </w:rPr>
            </w:pPr>
            <w:r>
              <w:rPr>
                <w:rFonts w:hint="default"/>
                <w:color w:val="auto"/>
                <w:sz w:val="21"/>
                <w:szCs w:val="21"/>
              </w:rPr>
              <w:t>储存</w:t>
            </w:r>
            <w:r>
              <w:rPr>
                <w:rFonts w:hint="eastAsia"/>
                <w:color w:val="auto"/>
                <w:sz w:val="21"/>
                <w:szCs w:val="21"/>
              </w:rPr>
              <w:t>炸药及雷管等</w:t>
            </w:r>
          </w:p>
        </w:tc>
        <w:tc>
          <w:tcPr>
            <w:tcW w:w="2993" w:type="dxa"/>
            <w:tcBorders>
              <w:tl2br w:val="nil"/>
              <w:tr2bl w:val="nil"/>
            </w:tcBorders>
            <w:vAlign w:val="center"/>
          </w:tcPr>
          <w:p>
            <w:pPr>
              <w:keepNext w:val="0"/>
              <w:keepLines w:val="0"/>
              <w:suppressLineNumbers w:val="0"/>
              <w:autoSpaceDE w:val="0"/>
              <w:autoSpaceDN w:val="0"/>
              <w:adjustRightInd w:val="0"/>
              <w:snapToGrid w:val="0"/>
              <w:spacing w:before="0" w:beforeAutospacing="0" w:after="0" w:afterAutospacing="0" w:line="240" w:lineRule="auto"/>
              <w:ind w:left="0" w:leftChars="0" w:right="0" w:rightChars="0" w:firstLine="0" w:firstLineChars="0"/>
              <w:rPr>
                <w:rFonts w:hint="default"/>
                <w:color w:val="auto"/>
                <w:sz w:val="21"/>
                <w:szCs w:val="21"/>
              </w:rPr>
            </w:pPr>
            <w:r>
              <w:rPr>
                <w:rFonts w:hint="default"/>
                <w:color w:val="auto"/>
                <w:sz w:val="21"/>
                <w:szCs w:val="21"/>
              </w:rPr>
              <w:t>储存</w:t>
            </w:r>
            <w:r>
              <w:rPr>
                <w:rFonts w:hint="eastAsia"/>
                <w:color w:val="auto"/>
                <w:sz w:val="21"/>
                <w:szCs w:val="21"/>
              </w:rPr>
              <w:t>炸药及雷管等</w:t>
            </w:r>
          </w:p>
        </w:tc>
        <w:tc>
          <w:tcPr>
            <w:tcW w:w="1062" w:type="dxa"/>
            <w:tcBorders>
              <w:tl2br w:val="nil"/>
              <w:tr2bl w:val="nil"/>
            </w:tcBorders>
            <w:vAlign w:val="center"/>
          </w:tcPr>
          <w:p>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sz w:val="21"/>
                <w:szCs w:val="21"/>
                <w:lang w:eastAsia="zh-CN"/>
              </w:rPr>
            </w:pPr>
            <w:r>
              <w:rPr>
                <w:rFonts w:hint="eastAsia"/>
                <w:color w:val="auto"/>
                <w:sz w:val="21"/>
                <w:szCs w:val="21"/>
                <w:lang w:eastAsia="zh-CN"/>
              </w:rPr>
              <w:t>改造</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4" w:hRule="atLeast"/>
          <w:jc w:val="center"/>
        </w:trPr>
        <w:tc>
          <w:tcPr>
            <w:tcW w:w="679"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r>
              <w:rPr>
                <w:rFonts w:hint="eastAsia"/>
                <w:color w:val="auto"/>
                <w:sz w:val="21"/>
                <w:szCs w:val="21"/>
              </w:rPr>
              <w:t>生活及</w:t>
            </w:r>
            <w:r>
              <w:rPr>
                <w:rFonts w:hint="default"/>
                <w:color w:val="auto"/>
                <w:sz w:val="21"/>
                <w:szCs w:val="21"/>
              </w:rPr>
              <w:t>公用工程</w:t>
            </w:r>
          </w:p>
        </w:tc>
        <w:tc>
          <w:tcPr>
            <w:tcW w:w="134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生活和办公</w:t>
            </w:r>
          </w:p>
        </w:tc>
        <w:tc>
          <w:tcPr>
            <w:tcW w:w="2993" w:type="dxa"/>
            <w:tcBorders>
              <w:tl2br w:val="nil"/>
              <w:tr2bl w:val="nil"/>
            </w:tcBorders>
            <w:vAlign w:val="center"/>
          </w:tcPr>
          <w:p>
            <w:pPr>
              <w:keepNext w:val="0"/>
              <w:keepLines w:val="0"/>
              <w:suppressLineNumbers w:val="0"/>
              <w:adjustRightInd w:val="0"/>
              <w:snapToGrid w:val="0"/>
              <w:spacing w:before="0" w:beforeAutospacing="0" w:after="0" w:afterAutospacing="0" w:line="240" w:lineRule="auto"/>
              <w:ind w:left="0" w:right="0"/>
              <w:rPr>
                <w:rFonts w:hint="eastAsia"/>
                <w:color w:val="auto"/>
                <w:spacing w:val="-20"/>
                <w:sz w:val="21"/>
                <w:szCs w:val="21"/>
              </w:rPr>
            </w:pPr>
            <w:r>
              <w:rPr>
                <w:rFonts w:hint="eastAsia"/>
                <w:color w:val="auto"/>
                <w:sz w:val="21"/>
                <w:szCs w:val="21"/>
              </w:rPr>
              <w:t>办公室、职工宿舍等均位于新冲村</w:t>
            </w:r>
          </w:p>
        </w:tc>
        <w:tc>
          <w:tcPr>
            <w:tcW w:w="2993" w:type="dxa"/>
            <w:tcBorders>
              <w:tl2br w:val="nil"/>
              <w:tr2bl w:val="nil"/>
            </w:tcBorders>
            <w:vAlign w:val="center"/>
          </w:tcPr>
          <w:p>
            <w:pPr>
              <w:keepNext w:val="0"/>
              <w:keepLines w:val="0"/>
              <w:suppressLineNumbers w:val="0"/>
              <w:adjustRightInd w:val="0"/>
              <w:snapToGrid w:val="0"/>
              <w:spacing w:before="0" w:beforeAutospacing="0" w:after="0" w:afterAutospacing="0" w:line="240" w:lineRule="auto"/>
              <w:ind w:left="0" w:leftChars="0" w:right="0" w:rightChars="0" w:firstLine="0" w:firstLineChars="0"/>
              <w:rPr>
                <w:rFonts w:hint="eastAsia" w:eastAsia="宋体"/>
                <w:color w:val="auto"/>
                <w:sz w:val="21"/>
                <w:szCs w:val="21"/>
                <w:lang w:eastAsia="zh-CN"/>
              </w:rPr>
            </w:pPr>
            <w:r>
              <w:rPr>
                <w:rFonts w:hint="eastAsia"/>
                <w:color w:val="auto"/>
                <w:sz w:val="21"/>
                <w:szCs w:val="21"/>
              </w:rPr>
              <w:t>办公室位于新冲村</w:t>
            </w:r>
            <w:r>
              <w:rPr>
                <w:rFonts w:hint="eastAsia"/>
                <w:color w:val="auto"/>
                <w:sz w:val="21"/>
                <w:szCs w:val="21"/>
                <w:lang w:eastAsia="zh-CN"/>
              </w:rPr>
              <w:t>，未设置职工宿舍</w:t>
            </w:r>
          </w:p>
        </w:tc>
        <w:tc>
          <w:tcPr>
            <w:tcW w:w="1062" w:type="dxa"/>
            <w:tcBorders>
              <w:tl2br w:val="nil"/>
              <w:tr2bl w:val="nil"/>
            </w:tcBorders>
            <w:vAlign w:val="center"/>
          </w:tcPr>
          <w:p>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sz w:val="21"/>
                <w:szCs w:val="21"/>
                <w:lang w:eastAsia="zh-CN"/>
              </w:rPr>
            </w:pPr>
            <w:r>
              <w:rPr>
                <w:rFonts w:hint="eastAsia"/>
                <w:color w:val="auto"/>
                <w:sz w:val="21"/>
                <w:szCs w:val="21"/>
                <w:lang w:eastAsia="zh-CN"/>
              </w:rPr>
              <w:t>改造</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4" w:hRule="atLeast"/>
          <w:jc w:val="center"/>
        </w:trPr>
        <w:tc>
          <w:tcPr>
            <w:tcW w:w="679"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eastAsia"/>
                <w:color w:val="auto"/>
                <w:sz w:val="21"/>
                <w:szCs w:val="21"/>
              </w:rPr>
            </w:pPr>
          </w:p>
        </w:tc>
        <w:tc>
          <w:tcPr>
            <w:tcW w:w="1344"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给排水</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pacing w:val="-20"/>
                <w:sz w:val="21"/>
                <w:szCs w:val="21"/>
              </w:rPr>
            </w:pPr>
            <w:r>
              <w:rPr>
                <w:rFonts w:hint="eastAsia"/>
                <w:color w:val="auto"/>
                <w:sz w:val="21"/>
                <w:szCs w:val="21"/>
              </w:rPr>
              <w:t>矿坑涌水</w:t>
            </w:r>
            <w:r>
              <w:rPr>
                <w:rFonts w:hint="default"/>
                <w:color w:val="auto"/>
                <w:sz w:val="21"/>
                <w:szCs w:val="21"/>
              </w:rPr>
              <w:t>是生产用水的主要来源。生活用水</w:t>
            </w:r>
            <w:r>
              <w:rPr>
                <w:rFonts w:hint="eastAsia"/>
                <w:color w:val="auto"/>
                <w:sz w:val="21"/>
                <w:szCs w:val="21"/>
              </w:rPr>
              <w:t>来源于附近村庄井水</w:t>
            </w:r>
            <w:r>
              <w:rPr>
                <w:rFonts w:hint="default"/>
                <w:color w:val="auto"/>
                <w:sz w:val="21"/>
                <w:szCs w:val="21"/>
              </w:rPr>
              <w:t>。</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rPr>
                <w:rFonts w:hint="eastAsia"/>
                <w:color w:val="auto"/>
                <w:sz w:val="21"/>
                <w:szCs w:val="21"/>
              </w:rPr>
            </w:pPr>
            <w:r>
              <w:rPr>
                <w:rFonts w:hint="eastAsia"/>
                <w:color w:val="auto"/>
                <w:sz w:val="21"/>
                <w:szCs w:val="21"/>
              </w:rPr>
              <w:t>矿坑涌水</w:t>
            </w:r>
            <w:r>
              <w:rPr>
                <w:rFonts w:hint="default"/>
                <w:color w:val="auto"/>
                <w:sz w:val="21"/>
                <w:szCs w:val="21"/>
              </w:rPr>
              <w:t>是生产用水的主要来源。生活用水</w:t>
            </w:r>
            <w:r>
              <w:rPr>
                <w:rFonts w:hint="eastAsia"/>
                <w:color w:val="auto"/>
                <w:sz w:val="21"/>
                <w:szCs w:val="21"/>
              </w:rPr>
              <w:t>来源于附近村庄</w:t>
            </w:r>
            <w:r>
              <w:rPr>
                <w:rFonts w:hint="eastAsia"/>
                <w:color w:val="auto"/>
                <w:sz w:val="21"/>
                <w:szCs w:val="21"/>
                <w:lang w:eastAsia="zh-CN"/>
              </w:rPr>
              <w:t>村民饮用水，即山泉水</w:t>
            </w:r>
            <w:r>
              <w:rPr>
                <w:rFonts w:hint="default"/>
                <w:color w:val="auto"/>
                <w:sz w:val="21"/>
                <w:szCs w:val="21"/>
              </w:rPr>
              <w:t>。</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FF0000"/>
                <w:sz w:val="21"/>
                <w:szCs w:val="21"/>
              </w:rPr>
            </w:pPr>
            <w:r>
              <w:rPr>
                <w:rFonts w:hint="eastAsia"/>
                <w:color w:val="000000" w:themeColor="text1"/>
                <w:sz w:val="21"/>
                <w:szCs w:val="21"/>
                <w14:textFill>
                  <w14:solidFill>
                    <w14:schemeClr w14:val="tx1"/>
                  </w14:solidFill>
                </w14:textFill>
              </w:rPr>
              <w:t>依托原有</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4" w:hRule="atLeast"/>
          <w:jc w:val="center"/>
        </w:trPr>
        <w:tc>
          <w:tcPr>
            <w:tcW w:w="679"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eastAsia"/>
                <w:color w:val="auto"/>
                <w:sz w:val="21"/>
                <w:szCs w:val="21"/>
              </w:rPr>
            </w:pPr>
          </w:p>
        </w:tc>
        <w:tc>
          <w:tcPr>
            <w:tcW w:w="1344"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color w:val="auto"/>
                <w:sz w:val="21"/>
                <w:szCs w:val="21"/>
              </w:rPr>
            </w:pP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eastAsia"/>
                <w:color w:val="auto"/>
                <w:sz w:val="21"/>
                <w:szCs w:val="21"/>
              </w:rPr>
            </w:pPr>
            <w:r>
              <w:rPr>
                <w:rFonts w:hint="eastAsia"/>
                <w:color w:val="auto"/>
                <w:sz w:val="21"/>
                <w:szCs w:val="21"/>
              </w:rPr>
              <w:t>矿区雨水与矿山废水分排系统</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rPr>
                <w:rFonts w:hint="eastAsia"/>
                <w:color w:val="auto"/>
                <w:sz w:val="21"/>
                <w:szCs w:val="21"/>
              </w:rPr>
            </w:pPr>
            <w:r>
              <w:rPr>
                <w:rFonts w:hint="eastAsia"/>
                <w:color w:val="auto"/>
                <w:sz w:val="21"/>
                <w:szCs w:val="21"/>
              </w:rPr>
              <w:t>矿区雨水与矿山废水分排系统</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新增</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330" w:hRule="atLeast"/>
          <w:jc w:val="center"/>
        </w:trPr>
        <w:tc>
          <w:tcPr>
            <w:tcW w:w="679"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p>
        </w:tc>
        <w:tc>
          <w:tcPr>
            <w:tcW w:w="134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供电</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eastAsia"/>
                <w:color w:val="auto"/>
                <w:sz w:val="21"/>
                <w:szCs w:val="21"/>
              </w:rPr>
            </w:pPr>
            <w:r>
              <w:rPr>
                <w:rFonts w:hint="eastAsia"/>
                <w:color w:val="auto"/>
                <w:sz w:val="21"/>
                <w:szCs w:val="21"/>
              </w:rPr>
              <w:t>由梅街镇</w:t>
            </w:r>
            <w:r>
              <w:rPr>
                <w:rFonts w:hint="default"/>
                <w:color w:val="auto"/>
                <w:sz w:val="21"/>
                <w:szCs w:val="21"/>
              </w:rPr>
              <w:t>供电所提供，能保障矿区正常生产</w:t>
            </w:r>
            <w:r>
              <w:rPr>
                <w:rFonts w:hint="eastAsia"/>
                <w:color w:val="auto"/>
                <w:sz w:val="21"/>
                <w:szCs w:val="21"/>
              </w:rPr>
              <w:t>及生活</w:t>
            </w:r>
            <w:r>
              <w:rPr>
                <w:rFonts w:hint="default"/>
                <w:color w:val="auto"/>
                <w:sz w:val="21"/>
                <w:szCs w:val="21"/>
              </w:rPr>
              <w:t>用电。</w:t>
            </w:r>
            <w:r>
              <w:rPr>
                <w:rFonts w:hint="eastAsia"/>
                <w:color w:val="auto"/>
                <w:sz w:val="21"/>
                <w:szCs w:val="21"/>
              </w:rPr>
              <w:t>矿区配置50kw内燃发电机组一台备用。</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rPr>
                <w:rFonts w:hint="eastAsia"/>
                <w:color w:val="auto"/>
                <w:sz w:val="21"/>
                <w:szCs w:val="21"/>
              </w:rPr>
            </w:pPr>
            <w:r>
              <w:rPr>
                <w:rFonts w:hint="eastAsia"/>
                <w:color w:val="auto"/>
                <w:sz w:val="21"/>
                <w:szCs w:val="21"/>
              </w:rPr>
              <w:t>由梅街镇</w:t>
            </w:r>
            <w:r>
              <w:rPr>
                <w:rFonts w:hint="default"/>
                <w:color w:val="auto"/>
                <w:sz w:val="21"/>
                <w:szCs w:val="21"/>
              </w:rPr>
              <w:t>供电所提供，能保障矿区正常生产</w:t>
            </w:r>
            <w:r>
              <w:rPr>
                <w:rFonts w:hint="eastAsia"/>
                <w:color w:val="auto"/>
                <w:sz w:val="21"/>
                <w:szCs w:val="21"/>
              </w:rPr>
              <w:t>及生活</w:t>
            </w:r>
            <w:r>
              <w:rPr>
                <w:rFonts w:hint="default"/>
                <w:color w:val="auto"/>
                <w:sz w:val="21"/>
                <w:szCs w:val="21"/>
              </w:rPr>
              <w:t>用电。</w:t>
            </w:r>
            <w:r>
              <w:rPr>
                <w:rFonts w:hint="eastAsia"/>
                <w:color w:val="auto"/>
                <w:sz w:val="21"/>
                <w:szCs w:val="21"/>
              </w:rPr>
              <w:t>矿区配置50kw内燃发电机组一台备用。</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依托原有</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4" w:hRule="atLeast"/>
          <w:jc w:val="center"/>
        </w:trPr>
        <w:tc>
          <w:tcPr>
            <w:tcW w:w="679"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环保工程</w:t>
            </w:r>
          </w:p>
        </w:tc>
        <w:tc>
          <w:tcPr>
            <w:tcW w:w="134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snapToGrid w:val="0"/>
                <w:color w:val="auto"/>
                <w:spacing w:val="-20"/>
                <w:sz w:val="21"/>
                <w:szCs w:val="21"/>
              </w:rPr>
            </w:pPr>
            <w:r>
              <w:rPr>
                <w:rFonts w:hint="eastAsia"/>
                <w:color w:val="auto"/>
                <w:sz w:val="21"/>
                <w:szCs w:val="21"/>
              </w:rPr>
              <w:t>湿式</w:t>
            </w:r>
            <w:r>
              <w:rPr>
                <w:rFonts w:hint="default"/>
                <w:color w:val="auto"/>
                <w:sz w:val="21"/>
                <w:szCs w:val="21"/>
              </w:rPr>
              <w:t>除尘</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snapToGrid w:val="0"/>
                <w:color w:val="auto"/>
                <w:sz w:val="21"/>
                <w:szCs w:val="21"/>
              </w:rPr>
            </w:pPr>
            <w:r>
              <w:rPr>
                <w:rFonts w:hint="eastAsia"/>
                <w:snapToGrid w:val="0"/>
                <w:color w:val="auto"/>
                <w:sz w:val="21"/>
                <w:szCs w:val="21"/>
              </w:rPr>
              <w:t>井下开采采用湿式除尘措施，</w:t>
            </w:r>
            <w:r>
              <w:rPr>
                <w:rFonts w:hint="default"/>
                <w:snapToGrid w:val="0"/>
                <w:color w:val="auto"/>
                <w:sz w:val="21"/>
                <w:szCs w:val="21"/>
              </w:rPr>
              <w:t>粉尘经治理后达标排放。</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rPr>
                <w:rFonts w:hint="eastAsia" w:eastAsia="宋体"/>
                <w:snapToGrid w:val="0"/>
                <w:color w:val="auto"/>
                <w:sz w:val="21"/>
                <w:szCs w:val="21"/>
                <w:lang w:eastAsia="zh-CN"/>
              </w:rPr>
            </w:pPr>
            <w:r>
              <w:rPr>
                <w:rFonts w:hint="eastAsia"/>
                <w:snapToGrid w:val="0"/>
                <w:color w:val="auto"/>
                <w:sz w:val="21"/>
                <w:szCs w:val="21"/>
              </w:rPr>
              <w:t>井下开采采用湿式除尘措施，</w:t>
            </w:r>
            <w:r>
              <w:rPr>
                <w:rFonts w:hint="default"/>
                <w:snapToGrid w:val="0"/>
                <w:color w:val="auto"/>
                <w:sz w:val="21"/>
                <w:szCs w:val="21"/>
              </w:rPr>
              <w:t>粉尘经治理后达标排放</w:t>
            </w:r>
            <w:r>
              <w:rPr>
                <w:rFonts w:hint="eastAsia"/>
                <w:snapToGrid w:val="0"/>
                <w:color w:val="auto"/>
                <w:sz w:val="21"/>
                <w:szCs w:val="21"/>
                <w:lang w:eastAsia="zh-CN"/>
              </w:rPr>
              <w:t>；下料仓配备喷淋装置对矿石进行喷淋加湿，降低粉尘的产生</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eastAsia="宋体"/>
                <w:color w:val="auto"/>
                <w:sz w:val="21"/>
                <w:szCs w:val="21"/>
                <w:lang w:eastAsia="zh-CN"/>
              </w:rPr>
            </w:pPr>
            <w:r>
              <w:rPr>
                <w:rFonts w:hint="eastAsia"/>
                <w:color w:val="auto"/>
                <w:sz w:val="21"/>
                <w:szCs w:val="21"/>
                <w:lang w:eastAsia="zh-CN"/>
              </w:rPr>
              <w:t>新建</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70" w:hRule="atLeast"/>
          <w:jc w:val="center"/>
        </w:trPr>
        <w:tc>
          <w:tcPr>
            <w:tcW w:w="679"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p>
        </w:tc>
        <w:tc>
          <w:tcPr>
            <w:tcW w:w="134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eastAsia"/>
                <w:color w:val="auto"/>
                <w:sz w:val="21"/>
                <w:szCs w:val="21"/>
              </w:rPr>
              <w:t>矿区</w:t>
            </w:r>
            <w:r>
              <w:rPr>
                <w:rFonts w:hint="default"/>
                <w:color w:val="auto"/>
                <w:sz w:val="21"/>
                <w:szCs w:val="21"/>
              </w:rPr>
              <w:t>废水处理</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r>
              <w:rPr>
                <w:rFonts w:hint="eastAsia"/>
                <w:color w:val="auto"/>
                <w:sz w:val="21"/>
                <w:szCs w:val="21"/>
              </w:rPr>
              <w:t>本项目矿区废水经中和沉淀处理系统处理后一部分回用于生产及矿区洒水抑尘等，剩余部分</w:t>
            </w:r>
            <w:r>
              <w:rPr>
                <w:rFonts w:hint="eastAsia"/>
                <w:color w:val="auto"/>
                <w:sz w:val="21"/>
                <w:szCs w:val="21"/>
                <w:lang w:eastAsia="zh-CN"/>
              </w:rPr>
              <w:t>由世源矿业有限公司接收使用。</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rPr>
                <w:rFonts w:hint="eastAsia"/>
                <w:color w:val="auto"/>
                <w:sz w:val="21"/>
                <w:szCs w:val="21"/>
              </w:rPr>
            </w:pPr>
            <w:r>
              <w:rPr>
                <w:rFonts w:hint="eastAsia"/>
                <w:color w:val="auto"/>
                <w:sz w:val="21"/>
                <w:szCs w:val="21"/>
              </w:rPr>
              <w:t>本项目矿区废水经中和沉淀处理系统处理后一部分回用于生产及矿区洒水抑尘等，剩余部分</w:t>
            </w:r>
            <w:r>
              <w:rPr>
                <w:rFonts w:hint="eastAsia"/>
                <w:color w:val="auto"/>
                <w:sz w:val="21"/>
                <w:szCs w:val="21"/>
                <w:lang w:eastAsia="zh-CN"/>
              </w:rPr>
              <w:t>由世源矿业有限公司接收使用，目前阶段废水产生量少，全部会用于采矿和喷淋，无富余废水送到世源矿业</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新增</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5" w:hRule="atLeast"/>
          <w:jc w:val="center"/>
        </w:trPr>
        <w:tc>
          <w:tcPr>
            <w:tcW w:w="679"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p>
        </w:tc>
        <w:tc>
          <w:tcPr>
            <w:tcW w:w="134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生活污水处理</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r>
              <w:rPr>
                <w:rFonts w:hint="eastAsia"/>
                <w:color w:val="auto"/>
                <w:sz w:val="21"/>
                <w:szCs w:val="21"/>
              </w:rPr>
              <w:t>产生</w:t>
            </w:r>
            <w:r>
              <w:rPr>
                <w:rFonts w:hint="default"/>
                <w:color w:val="auto"/>
                <w:sz w:val="21"/>
                <w:szCs w:val="21"/>
              </w:rPr>
              <w:t>量少，可直接依靠旱厕处理。</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rPr>
                <w:rFonts w:hint="eastAsia"/>
                <w:color w:val="auto"/>
                <w:sz w:val="21"/>
                <w:szCs w:val="21"/>
              </w:rPr>
            </w:pPr>
            <w:r>
              <w:rPr>
                <w:rFonts w:hint="eastAsia"/>
                <w:color w:val="auto"/>
                <w:sz w:val="21"/>
                <w:szCs w:val="21"/>
                <w:lang w:eastAsia="zh-CN"/>
              </w:rPr>
              <w:t>工业场地上未设置任何工人生活设施，无卫生间，因此</w:t>
            </w:r>
            <w:r>
              <w:rPr>
                <w:rFonts w:hint="eastAsia"/>
                <w:color w:val="auto"/>
                <w:sz w:val="21"/>
                <w:szCs w:val="21"/>
              </w:rPr>
              <w:t>无生活污水排放</w:t>
            </w:r>
            <w:r>
              <w:rPr>
                <w:rFonts w:hint="default"/>
                <w:color w:val="auto"/>
                <w:sz w:val="21"/>
                <w:szCs w:val="21"/>
              </w:rPr>
              <w:t>。</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未建设</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252" w:hRule="atLeast"/>
          <w:jc w:val="center"/>
        </w:trPr>
        <w:tc>
          <w:tcPr>
            <w:tcW w:w="679"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p>
        </w:tc>
        <w:tc>
          <w:tcPr>
            <w:tcW w:w="134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snapToGrid w:val="0"/>
                <w:color w:val="auto"/>
                <w:sz w:val="21"/>
                <w:szCs w:val="21"/>
              </w:rPr>
            </w:pPr>
            <w:r>
              <w:rPr>
                <w:rFonts w:hint="default"/>
                <w:color w:val="auto"/>
                <w:sz w:val="21"/>
                <w:szCs w:val="21"/>
              </w:rPr>
              <w:t>噪声防治</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snapToGrid w:val="0"/>
                <w:color w:val="auto"/>
                <w:sz w:val="21"/>
                <w:szCs w:val="21"/>
              </w:rPr>
            </w:pPr>
            <w:r>
              <w:rPr>
                <w:rFonts w:hint="default"/>
                <w:snapToGrid w:val="0"/>
                <w:color w:val="auto"/>
                <w:sz w:val="21"/>
                <w:szCs w:val="21"/>
              </w:rPr>
              <w:t>对主要噪声源采取消声、隔声为主的治理措施，强噪声源安装消声器，并在厂房内使用隔声、吸声材料。</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rPr>
                <w:rFonts w:hint="default"/>
                <w:snapToGrid w:val="0"/>
                <w:color w:val="auto"/>
                <w:sz w:val="21"/>
                <w:szCs w:val="21"/>
              </w:rPr>
            </w:pPr>
            <w:r>
              <w:rPr>
                <w:rFonts w:hint="default"/>
                <w:snapToGrid w:val="0"/>
                <w:color w:val="auto"/>
                <w:sz w:val="21"/>
                <w:szCs w:val="21"/>
              </w:rPr>
              <w:t>对主要噪声源采取消声、隔声为主的治理措施，强噪声源安装消声器，并在厂房内使用隔声、吸声材料。</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改造</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5" w:hRule="atLeast"/>
          <w:jc w:val="center"/>
        </w:trPr>
        <w:tc>
          <w:tcPr>
            <w:tcW w:w="679"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p>
        </w:tc>
        <w:tc>
          <w:tcPr>
            <w:tcW w:w="134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固废处置</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生活垃圾集中收</w:t>
            </w:r>
            <w:r>
              <w:rPr>
                <w:rFonts w:hint="default"/>
                <w:snapToGrid w:val="0"/>
                <w:color w:val="auto"/>
                <w:sz w:val="21"/>
                <w:szCs w:val="21"/>
              </w:rPr>
              <w:t>集、集中处理；</w:t>
            </w:r>
            <w:r>
              <w:rPr>
                <w:rFonts w:hint="eastAsia"/>
                <w:snapToGrid w:val="0"/>
                <w:color w:val="auto"/>
                <w:sz w:val="21"/>
                <w:szCs w:val="21"/>
              </w:rPr>
              <w:t>采矿废石不出井嗣后井下回填</w:t>
            </w:r>
            <w:r>
              <w:rPr>
                <w:rFonts w:hint="default"/>
                <w:snapToGrid w:val="0"/>
                <w:color w:val="auto"/>
                <w:sz w:val="21"/>
                <w:szCs w:val="21"/>
              </w:rPr>
              <w:t>。</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rPr>
                <w:rFonts w:hint="default"/>
                <w:color w:val="auto"/>
                <w:sz w:val="21"/>
                <w:szCs w:val="21"/>
              </w:rPr>
            </w:pPr>
            <w:r>
              <w:rPr>
                <w:rFonts w:hint="default"/>
                <w:color w:val="auto"/>
                <w:sz w:val="21"/>
                <w:szCs w:val="21"/>
              </w:rPr>
              <w:t>生活垃圾集中收</w:t>
            </w:r>
            <w:r>
              <w:rPr>
                <w:rFonts w:hint="default"/>
                <w:snapToGrid w:val="0"/>
                <w:color w:val="auto"/>
                <w:sz w:val="21"/>
                <w:szCs w:val="21"/>
              </w:rPr>
              <w:t>集、集中处理；</w:t>
            </w:r>
            <w:r>
              <w:rPr>
                <w:rFonts w:hint="eastAsia"/>
                <w:snapToGrid w:val="0"/>
                <w:color w:val="auto"/>
                <w:sz w:val="21"/>
                <w:szCs w:val="21"/>
              </w:rPr>
              <w:t>采矿废石不出井嗣后井下回填</w:t>
            </w:r>
            <w:r>
              <w:rPr>
                <w:rFonts w:hint="eastAsia"/>
                <w:snapToGrid w:val="0"/>
                <w:color w:val="auto"/>
                <w:sz w:val="21"/>
                <w:szCs w:val="21"/>
                <w:lang w:eastAsia="zh-CN"/>
              </w:rPr>
              <w:t>至采空区</w:t>
            </w:r>
            <w:r>
              <w:rPr>
                <w:rFonts w:hint="default"/>
                <w:snapToGrid w:val="0"/>
                <w:color w:val="auto"/>
                <w:sz w:val="21"/>
                <w:szCs w:val="21"/>
              </w:rPr>
              <w:t>。</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依托原有</w:t>
            </w:r>
          </w:p>
        </w:tc>
      </w:tr>
      <w:tr>
        <w:tblPrEx>
          <w:tblBorders>
            <w:top w:val="double" w:color="000000" w:sz="4" w:space="0"/>
            <w:left w:val="none" w:color="auto" w:sz="0" w:space="0"/>
            <w:bottom w:val="double" w:color="000000" w:sz="4"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Ex>
        <w:trPr>
          <w:trHeight w:val="64" w:hRule="atLeast"/>
          <w:jc w:val="center"/>
        </w:trPr>
        <w:tc>
          <w:tcPr>
            <w:tcW w:w="679"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p>
        </w:tc>
        <w:tc>
          <w:tcPr>
            <w:tcW w:w="134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生态</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color w:val="auto"/>
                <w:sz w:val="21"/>
                <w:szCs w:val="21"/>
              </w:rPr>
            </w:pPr>
            <w:r>
              <w:rPr>
                <w:rFonts w:hint="default"/>
                <w:color w:val="auto"/>
                <w:sz w:val="21"/>
                <w:szCs w:val="21"/>
              </w:rPr>
              <w:t>植被恢复。</w:t>
            </w:r>
          </w:p>
        </w:tc>
        <w:tc>
          <w:tcPr>
            <w:tcW w:w="2993"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rPr>
                <w:rFonts w:hint="default"/>
                <w:color w:val="auto"/>
                <w:sz w:val="21"/>
                <w:szCs w:val="21"/>
              </w:rPr>
            </w:pPr>
            <w:r>
              <w:rPr>
                <w:rFonts w:hint="default"/>
                <w:color w:val="auto"/>
                <w:sz w:val="21"/>
                <w:szCs w:val="21"/>
              </w:rPr>
              <w:t>植被恢复</w:t>
            </w:r>
            <w:r>
              <w:rPr>
                <w:rFonts w:hint="eastAsia"/>
                <w:color w:val="auto"/>
                <w:sz w:val="21"/>
                <w:szCs w:val="21"/>
                <w:lang w:eastAsia="zh-CN"/>
              </w:rPr>
              <w:t>、覆土绿化、水土保持均已落实</w:t>
            </w:r>
            <w:r>
              <w:rPr>
                <w:rFonts w:hint="default"/>
                <w:color w:val="auto"/>
                <w:sz w:val="21"/>
                <w:szCs w:val="21"/>
              </w:rPr>
              <w:t>。</w:t>
            </w:r>
          </w:p>
        </w:tc>
        <w:tc>
          <w:tcPr>
            <w:tcW w:w="10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新增</w:t>
            </w:r>
          </w:p>
        </w:tc>
      </w:tr>
    </w:tbl>
    <w:p>
      <w:pPr>
        <w:pStyle w:val="5"/>
        <w:rPr>
          <w:rFonts w:hint="eastAsia"/>
          <w:lang w:val="en-US" w:eastAsia="zh-CN"/>
        </w:rPr>
      </w:pPr>
      <w:bookmarkStart w:id="148" w:name="_Toc8439"/>
      <w:bookmarkStart w:id="149" w:name="_Toc25038"/>
      <w:bookmarkStart w:id="150" w:name="_Toc27151"/>
      <w:bookmarkStart w:id="151" w:name="_Toc21045"/>
      <w:bookmarkStart w:id="152" w:name="_Toc28332"/>
      <w:bookmarkStart w:id="153" w:name="_Toc11649"/>
      <w:bookmarkStart w:id="154" w:name="_Toc24235"/>
      <w:bookmarkStart w:id="155" w:name="_Toc20922"/>
      <w:bookmarkStart w:id="156" w:name="_Toc21222"/>
      <w:r>
        <w:rPr>
          <w:rFonts w:hint="eastAsia"/>
          <w:lang w:val="en-US" w:eastAsia="zh-CN"/>
        </w:rPr>
        <w:t>2.2.3项目建设内容变更情况</w:t>
      </w:r>
    </w:p>
    <w:p>
      <w:pPr>
        <w:pStyle w:val="2"/>
        <w:ind w:firstLine="480" w:firstLineChars="200"/>
        <w:rPr>
          <w:rFonts w:hint="eastAsia" w:eastAsia="宋体"/>
          <w:color w:val="FF0000"/>
          <w:sz w:val="24"/>
          <w:szCs w:val="24"/>
          <w:lang w:val="en-US" w:eastAsia="zh-CN"/>
        </w:rPr>
      </w:pPr>
      <w:r>
        <w:rPr>
          <w:rFonts w:hint="eastAsia"/>
          <w:color w:val="auto"/>
          <w:sz w:val="24"/>
          <w:szCs w:val="24"/>
          <w:lang w:val="en-US" w:eastAsia="zh-CN"/>
        </w:rPr>
        <w:t>项目实际建设情况与环境影响评价内容相比较，存在部分变更情况，包括取消原矿石堆场和废石堆场，进行生态恢复；</w:t>
      </w:r>
      <w:r>
        <w:rPr>
          <w:rFonts w:hint="eastAsia"/>
          <w:snapToGrid w:val="0"/>
          <w:color w:val="auto"/>
          <w:sz w:val="24"/>
          <w:szCs w:val="24"/>
        </w:rPr>
        <w:t>外部运输采用</w:t>
      </w:r>
      <w:r>
        <w:rPr>
          <w:rFonts w:hint="eastAsia"/>
          <w:snapToGrid w:val="0"/>
          <w:color w:val="auto"/>
          <w:sz w:val="24"/>
          <w:szCs w:val="24"/>
          <w:lang w:eastAsia="zh-CN"/>
        </w:rPr>
        <w:t>农用</w:t>
      </w:r>
      <w:r>
        <w:rPr>
          <w:rFonts w:hint="eastAsia"/>
          <w:snapToGrid w:val="0"/>
          <w:color w:val="auto"/>
          <w:sz w:val="24"/>
          <w:szCs w:val="24"/>
        </w:rPr>
        <w:t>车</w:t>
      </w:r>
      <w:r>
        <w:rPr>
          <w:rFonts w:hint="eastAsia"/>
          <w:snapToGrid w:val="0"/>
          <w:color w:val="auto"/>
          <w:sz w:val="24"/>
          <w:szCs w:val="24"/>
          <w:lang w:eastAsia="zh-CN"/>
        </w:rPr>
        <w:t>，降低污染产生；</w:t>
      </w:r>
      <w:r>
        <w:rPr>
          <w:rFonts w:hint="eastAsia"/>
          <w:color w:val="auto"/>
          <w:sz w:val="24"/>
          <w:szCs w:val="24"/>
        </w:rPr>
        <w:t>办公室位于新冲村</w:t>
      </w:r>
      <w:r>
        <w:rPr>
          <w:rFonts w:hint="eastAsia"/>
          <w:color w:val="auto"/>
          <w:sz w:val="24"/>
          <w:szCs w:val="24"/>
          <w:lang w:eastAsia="zh-CN"/>
        </w:rPr>
        <w:t>，未设置职工宿舍，</w:t>
      </w:r>
      <w:r>
        <w:rPr>
          <w:rFonts w:hint="default"/>
          <w:color w:val="auto"/>
          <w:sz w:val="24"/>
          <w:szCs w:val="24"/>
        </w:rPr>
        <w:t>生活用水</w:t>
      </w:r>
      <w:r>
        <w:rPr>
          <w:rFonts w:hint="eastAsia"/>
          <w:color w:val="auto"/>
          <w:sz w:val="24"/>
          <w:szCs w:val="24"/>
        </w:rPr>
        <w:t>来源于附近村庄</w:t>
      </w:r>
      <w:r>
        <w:rPr>
          <w:rFonts w:hint="eastAsia"/>
          <w:color w:val="auto"/>
          <w:sz w:val="24"/>
          <w:szCs w:val="24"/>
          <w:lang w:eastAsia="zh-CN"/>
        </w:rPr>
        <w:t>村民饮用水，即山泉水，不再使用地下水井中的地下水</w:t>
      </w:r>
      <w:r>
        <w:rPr>
          <w:rFonts w:hint="default"/>
          <w:color w:val="auto"/>
          <w:sz w:val="24"/>
          <w:szCs w:val="24"/>
        </w:rPr>
        <w:t>。</w:t>
      </w:r>
      <w:r>
        <w:rPr>
          <w:rFonts w:hint="eastAsia"/>
          <w:snapToGrid w:val="0"/>
          <w:color w:val="auto"/>
          <w:sz w:val="24"/>
          <w:szCs w:val="24"/>
          <w:lang w:eastAsia="zh-CN"/>
        </w:rPr>
        <w:t>下料仓增加配备了喷淋装置对矿石进行喷淋加湿；</w:t>
      </w:r>
      <w:r>
        <w:rPr>
          <w:rFonts w:hint="eastAsia"/>
          <w:color w:val="auto"/>
          <w:sz w:val="24"/>
          <w:szCs w:val="24"/>
          <w:lang w:eastAsia="zh-CN"/>
        </w:rPr>
        <w:t>工业场地上未设置任何工人生活设施，无卫生间，</w:t>
      </w:r>
      <w:r>
        <w:rPr>
          <w:rFonts w:hint="eastAsia"/>
          <w:color w:val="auto"/>
          <w:sz w:val="24"/>
          <w:szCs w:val="24"/>
        </w:rPr>
        <w:t>无生活污水排放</w:t>
      </w:r>
      <w:r>
        <w:rPr>
          <w:rFonts w:hint="default"/>
          <w:color w:val="auto"/>
          <w:sz w:val="24"/>
          <w:szCs w:val="24"/>
        </w:rPr>
        <w:t>。</w:t>
      </w:r>
    </w:p>
    <w:p>
      <w:pPr>
        <w:pStyle w:val="5"/>
        <w:rPr>
          <w:color w:val="auto"/>
        </w:rPr>
      </w:pPr>
      <w:r>
        <w:rPr>
          <w:rFonts w:hint="eastAsia"/>
          <w:color w:val="auto"/>
          <w:lang w:val="en-US" w:eastAsia="zh-CN"/>
        </w:rPr>
        <w:t>2</w:t>
      </w:r>
      <w:r>
        <w:rPr>
          <w:color w:val="auto"/>
        </w:rPr>
        <w:t>.</w:t>
      </w:r>
      <w:r>
        <w:rPr>
          <w:rFonts w:hint="eastAsia"/>
          <w:color w:val="auto"/>
          <w:lang w:val="en-US" w:eastAsia="zh-CN"/>
        </w:rPr>
        <w:t>2</w:t>
      </w:r>
      <w:r>
        <w:rPr>
          <w:color w:val="auto"/>
        </w:rPr>
        <w:t>.</w:t>
      </w:r>
      <w:r>
        <w:rPr>
          <w:rFonts w:hint="eastAsia"/>
          <w:color w:val="auto"/>
          <w:lang w:val="en-US" w:eastAsia="zh-CN"/>
        </w:rPr>
        <w:t>4</w:t>
      </w:r>
      <w:r>
        <w:rPr>
          <w:color w:val="auto"/>
        </w:rPr>
        <w:t>工程总平面布置</w:t>
      </w:r>
      <w:bookmarkEnd w:id="148"/>
      <w:bookmarkEnd w:id="149"/>
      <w:bookmarkEnd w:id="150"/>
      <w:bookmarkEnd w:id="151"/>
      <w:bookmarkEnd w:id="152"/>
      <w:bookmarkEnd w:id="153"/>
      <w:bookmarkEnd w:id="154"/>
      <w:bookmarkEnd w:id="155"/>
      <w:bookmarkEnd w:id="156"/>
    </w:p>
    <w:p>
      <w:pPr>
        <w:spacing w:line="460" w:lineRule="exact"/>
        <w:ind w:firstLine="480" w:firstLineChars="200"/>
        <w:rPr>
          <w:rFonts w:hint="eastAsia"/>
          <w:color w:val="auto"/>
          <w:sz w:val="24"/>
        </w:rPr>
      </w:pPr>
      <w:bookmarkStart w:id="157" w:name="_Toc6054"/>
      <w:bookmarkStart w:id="158" w:name="_Toc21363"/>
      <w:bookmarkStart w:id="159" w:name="_Toc5886"/>
      <w:bookmarkStart w:id="160" w:name="_Toc25676"/>
      <w:bookmarkStart w:id="161" w:name="_Toc4312"/>
      <w:bookmarkStart w:id="162" w:name="_Toc19293"/>
      <w:bookmarkStart w:id="163" w:name="_Toc10806"/>
      <w:bookmarkStart w:id="164" w:name="_Toc19121"/>
      <w:r>
        <w:rPr>
          <w:rFonts w:hint="eastAsia"/>
          <w:color w:val="auto"/>
          <w:sz w:val="24"/>
        </w:rPr>
        <w:t>姚街铅锌矿矿山工业场地和生产、生活设施布置在</w:t>
      </w:r>
      <w:r>
        <w:rPr>
          <w:rFonts w:hint="eastAsia" w:ascii="宋体" w:hAnsi="宋体"/>
          <w:color w:val="auto"/>
          <w:sz w:val="24"/>
        </w:rPr>
        <w:t>Ⅰ</w:t>
      </w:r>
      <w:r>
        <w:rPr>
          <w:rFonts w:hint="eastAsia"/>
          <w:color w:val="auto"/>
          <w:sz w:val="24"/>
        </w:rPr>
        <w:t>号矿体、</w:t>
      </w:r>
      <w:r>
        <w:rPr>
          <w:rFonts w:hint="eastAsia" w:ascii="宋体" w:hAnsi="宋体"/>
          <w:color w:val="auto"/>
          <w:sz w:val="24"/>
        </w:rPr>
        <w:t>Ⅳ</w:t>
      </w:r>
      <w:r>
        <w:rPr>
          <w:rFonts w:hint="eastAsia"/>
          <w:color w:val="auto"/>
          <w:sz w:val="24"/>
        </w:rPr>
        <w:t>号矿体底盘地形相对平缓处。工业场地的主要生产设施有压风机房、机修房、配电室、材料库、派班室等；生活设施主要为办公室等。矿山通风机房设置在</w:t>
      </w:r>
      <w:r>
        <w:rPr>
          <w:rFonts w:hint="eastAsia" w:ascii="宋体" w:hAnsi="宋体"/>
          <w:color w:val="auto"/>
          <w:sz w:val="24"/>
        </w:rPr>
        <w:t>Ⅰ</w:t>
      </w:r>
      <w:r>
        <w:rPr>
          <w:rFonts w:hint="eastAsia"/>
          <w:color w:val="auto"/>
          <w:sz w:val="24"/>
        </w:rPr>
        <w:t>号斜井和南翼通风斜井井口。矿区内部运输包括井口平台窄轨铁道运输和公路运输。其中井口轨道为废石、矿石运输通道，轨距0.6m，从斜井口通至矿石堆场。矿区有简易公路与矿区外主干道路相通。各斜井井口标高均高于井口平台，以利于平硐自然排水和防止雨季山间雨水灌入坑下。</w:t>
      </w:r>
    </w:p>
    <w:p>
      <w:pPr>
        <w:ind w:left="0" w:leftChars="0" w:firstLine="480" w:firstLineChars="200"/>
        <w:rPr>
          <w:rFonts w:hint="eastAsia"/>
          <w:snapToGrid w:val="0"/>
          <w:color w:val="auto"/>
          <w:sz w:val="24"/>
        </w:rPr>
      </w:pPr>
      <w:r>
        <w:rPr>
          <w:rFonts w:hint="eastAsia"/>
          <w:color w:val="auto"/>
          <w:sz w:val="24"/>
        </w:rPr>
        <w:t>本项目沿工业场地边缘修筑排水沟，把雨水引向地势低洼处，利用地形自然排泄。1号矿体在01线剖面开拓有1#斜井，</w:t>
      </w:r>
      <w:r>
        <w:rPr>
          <w:rFonts w:hint="eastAsia"/>
          <w:color w:val="auto"/>
          <w:sz w:val="24"/>
          <w:lang w:val="en-US" w:eastAsia="zh-CN"/>
        </w:rPr>
        <w:t>1#斜井标高+126m，</w:t>
      </w:r>
      <w:r>
        <w:rPr>
          <w:rFonts w:hint="eastAsia"/>
          <w:color w:val="auto"/>
          <w:sz w:val="24"/>
        </w:rPr>
        <w:t>本项目将1#斜井延深至+89m中段与</w:t>
      </w:r>
      <w:r>
        <w:rPr>
          <w:rFonts w:hint="eastAsia" w:ascii="宋体" w:hAnsi="宋体"/>
          <w:color w:val="auto"/>
          <w:sz w:val="24"/>
        </w:rPr>
        <w:t>Ⅳ</w:t>
      </w:r>
      <w:r>
        <w:rPr>
          <w:rFonts w:hint="eastAsia"/>
          <w:color w:val="auto"/>
          <w:sz w:val="24"/>
        </w:rPr>
        <w:t>号矿体+89m中段坑道贯通，使之成为</w:t>
      </w:r>
      <w:r>
        <w:rPr>
          <w:rFonts w:hint="eastAsia" w:ascii="宋体" w:hAnsi="宋体"/>
          <w:color w:val="auto"/>
          <w:sz w:val="24"/>
        </w:rPr>
        <w:t>Ⅳ</w:t>
      </w:r>
      <w:r>
        <w:rPr>
          <w:rFonts w:hint="eastAsia"/>
          <w:color w:val="auto"/>
          <w:sz w:val="24"/>
        </w:rPr>
        <w:t>号矿体的北翼通风斜井，矿井延深段位于无矿段。</w:t>
      </w:r>
      <w:r>
        <w:rPr>
          <w:rFonts w:hint="eastAsia"/>
          <w:snapToGrid w:val="0"/>
          <w:color w:val="auto"/>
          <w:sz w:val="24"/>
        </w:rPr>
        <w:t>新建50m</w:t>
      </w:r>
      <w:r>
        <w:rPr>
          <w:rFonts w:hint="eastAsia"/>
          <w:snapToGrid w:val="0"/>
          <w:color w:val="auto"/>
          <w:sz w:val="24"/>
          <w:vertAlign w:val="superscript"/>
        </w:rPr>
        <w:t>3</w:t>
      </w:r>
      <w:r>
        <w:rPr>
          <w:rFonts w:hint="eastAsia"/>
          <w:snapToGrid w:val="0"/>
          <w:color w:val="auto"/>
          <w:sz w:val="24"/>
        </w:rPr>
        <w:t>高位水池位于1#斜井（整合后改造为北翼通风斜井）东南侧，以保证矿井用水和兼作消防用水。</w:t>
      </w:r>
      <w:r>
        <w:rPr>
          <w:rFonts w:hint="eastAsia" w:ascii="宋体" w:hAnsi="宋体"/>
          <w:snapToGrid w:val="0"/>
          <w:color w:val="auto"/>
          <w:sz w:val="24"/>
        </w:rPr>
        <w:t>Ⅳ</w:t>
      </w:r>
      <w:r>
        <w:rPr>
          <w:rFonts w:hint="eastAsia"/>
          <w:snapToGrid w:val="0"/>
          <w:color w:val="auto"/>
          <w:sz w:val="24"/>
        </w:rPr>
        <w:t>号矿体在2线剖面北侧约28m开拓有主斜井。南翼斜井（4号矿体通风斜井）位于</w:t>
      </w:r>
      <w:r>
        <w:rPr>
          <w:rFonts w:hint="eastAsia" w:ascii="宋体" w:hAnsi="宋体"/>
          <w:snapToGrid w:val="0"/>
          <w:color w:val="auto"/>
          <w:sz w:val="24"/>
        </w:rPr>
        <w:t>Ⅳ</w:t>
      </w:r>
      <w:r>
        <w:rPr>
          <w:rFonts w:hint="eastAsia"/>
          <w:snapToGrid w:val="0"/>
          <w:color w:val="auto"/>
          <w:sz w:val="24"/>
        </w:rPr>
        <w:t>号矿体西南端底盘。各中段矿石由主斜井运出地面，废石不出井由人工进行井下回填。本项目矿区功能区划明确，布置较为合理。</w:t>
      </w:r>
      <w:bookmarkStart w:id="165" w:name="_Toc7349"/>
    </w:p>
    <w:p>
      <w:pPr>
        <w:pStyle w:val="5"/>
        <w:tabs>
          <w:tab w:val="left" w:pos="1620"/>
        </w:tabs>
        <w:spacing w:line="360" w:lineRule="auto"/>
        <w:ind w:left="0" w:leftChars="0" w:firstLine="480" w:firstLineChars="200"/>
        <w:rPr>
          <w:rFonts w:hint="eastAsia"/>
          <w:b w:val="0"/>
          <w:bCs w:val="0"/>
          <w:color w:val="auto"/>
          <w:sz w:val="24"/>
          <w:szCs w:val="24"/>
          <w:lang w:val="en-US" w:eastAsia="zh-CN"/>
        </w:rPr>
      </w:pPr>
      <w:r>
        <w:rPr>
          <w:rFonts w:hint="eastAsia"/>
          <w:b w:val="0"/>
          <w:bCs w:val="0"/>
          <w:color w:val="auto"/>
          <w:sz w:val="24"/>
          <w:szCs w:val="24"/>
          <w:lang w:eastAsia="zh-CN"/>
        </w:rPr>
        <w:t>地表作业区具体平面布置见图</w:t>
      </w:r>
      <w:r>
        <w:rPr>
          <w:rFonts w:hint="eastAsia"/>
          <w:b w:val="0"/>
          <w:bCs w:val="0"/>
          <w:color w:val="auto"/>
          <w:sz w:val="24"/>
          <w:szCs w:val="24"/>
          <w:lang w:val="en-US" w:eastAsia="zh-CN"/>
        </w:rPr>
        <w:t>2.2-2。</w:t>
      </w:r>
    </w:p>
    <w:p>
      <w:pPr>
        <w:pStyle w:val="18"/>
        <w:jc w:val="center"/>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lang w:eastAsia="zh-CN"/>
        </w:rPr>
        <w:drawing>
          <wp:inline distT="0" distB="0" distL="114300" distR="114300">
            <wp:extent cx="5272405" cy="3954145"/>
            <wp:effectExtent l="0" t="0" r="4445" b="8255"/>
            <wp:docPr id="26" name="图片 26" descr="平面布置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平面布置T"/>
                    <pic:cNvPicPr>
                      <a:picLocks noChangeAspect="1"/>
                    </pic:cNvPicPr>
                  </pic:nvPicPr>
                  <pic:blipFill>
                    <a:blip r:embed="rId14"/>
                    <a:stretch>
                      <a:fillRect/>
                    </a:stretch>
                  </pic:blipFill>
                  <pic:spPr>
                    <a:xfrm>
                      <a:off x="0" y="0"/>
                      <a:ext cx="5272405" cy="3954145"/>
                    </a:xfrm>
                    <a:prstGeom prst="rect">
                      <a:avLst/>
                    </a:prstGeom>
                  </pic:spPr>
                </pic:pic>
              </a:graphicData>
            </a:graphic>
          </wp:inline>
        </w:drawing>
      </w:r>
      <w:r>
        <w:rPr>
          <w:rFonts w:hint="default" w:ascii="Times New Roman" w:hAnsi="Times New Roman" w:cs="Times New Roman"/>
          <w:b/>
          <w:bCs/>
          <w:color w:val="auto"/>
          <w:sz w:val="21"/>
          <w:szCs w:val="21"/>
          <w:lang w:eastAsia="zh-CN"/>
        </w:rPr>
        <w:t>图</w:t>
      </w:r>
      <w:r>
        <w:rPr>
          <w:rFonts w:hint="eastAsia" w:ascii="Times New Roman" w:hAnsi="Times New Roman" w:cs="Times New Roman"/>
          <w:b/>
          <w:bCs/>
          <w:color w:val="auto"/>
          <w:sz w:val="21"/>
          <w:szCs w:val="21"/>
          <w:lang w:val="en-US" w:eastAsia="zh-CN"/>
        </w:rPr>
        <w:t>2</w:t>
      </w:r>
      <w:r>
        <w:rPr>
          <w:rFonts w:hint="default" w:ascii="Times New Roman" w:hAnsi="Times New Roman" w:cs="Times New Roman"/>
          <w:b/>
          <w:bCs/>
          <w:color w:val="auto"/>
          <w:sz w:val="21"/>
          <w:szCs w:val="21"/>
          <w:lang w:val="en-US" w:eastAsia="zh-CN"/>
        </w:rPr>
        <w:t>.2-2 项目</w:t>
      </w:r>
      <w:r>
        <w:rPr>
          <w:rFonts w:hint="eastAsia" w:ascii="Times New Roman" w:hAnsi="Times New Roman" w:cs="Times New Roman"/>
          <w:b/>
          <w:bCs/>
          <w:color w:val="auto"/>
          <w:sz w:val="21"/>
          <w:szCs w:val="21"/>
          <w:lang w:val="en-US" w:eastAsia="zh-CN"/>
        </w:rPr>
        <w:t>地表作业区</w:t>
      </w:r>
      <w:r>
        <w:rPr>
          <w:rFonts w:hint="default" w:ascii="Times New Roman" w:hAnsi="Times New Roman" w:cs="Times New Roman"/>
          <w:b/>
          <w:bCs/>
          <w:color w:val="auto"/>
          <w:sz w:val="21"/>
          <w:szCs w:val="21"/>
          <w:lang w:val="en-US" w:eastAsia="zh-CN"/>
        </w:rPr>
        <w:t>平面布置图</w:t>
      </w:r>
    </w:p>
    <w:p>
      <w:pPr>
        <w:pStyle w:val="5"/>
        <w:rPr>
          <w:color w:val="auto"/>
        </w:rPr>
      </w:pPr>
      <w:r>
        <w:rPr>
          <w:rFonts w:hint="eastAsia"/>
          <w:color w:val="auto"/>
          <w:lang w:val="en-US" w:eastAsia="zh-CN"/>
        </w:rPr>
        <w:t>2</w:t>
      </w:r>
      <w:r>
        <w:rPr>
          <w:color w:val="auto"/>
        </w:rPr>
        <w:t>.</w:t>
      </w:r>
      <w:r>
        <w:rPr>
          <w:rFonts w:hint="eastAsia"/>
          <w:color w:val="auto"/>
          <w:lang w:val="en-US" w:eastAsia="zh-CN"/>
        </w:rPr>
        <w:t>2</w:t>
      </w:r>
      <w:r>
        <w:rPr>
          <w:color w:val="auto"/>
        </w:rPr>
        <w:t>.</w:t>
      </w:r>
      <w:bookmarkEnd w:id="157"/>
      <w:bookmarkEnd w:id="158"/>
      <w:bookmarkEnd w:id="159"/>
      <w:bookmarkEnd w:id="160"/>
      <w:bookmarkEnd w:id="161"/>
      <w:bookmarkEnd w:id="162"/>
      <w:bookmarkEnd w:id="163"/>
      <w:bookmarkEnd w:id="164"/>
      <w:bookmarkEnd w:id="165"/>
      <w:bookmarkStart w:id="166" w:name="_Toc201414362"/>
      <w:bookmarkEnd w:id="166"/>
      <w:r>
        <w:rPr>
          <w:rFonts w:hint="eastAsia"/>
          <w:color w:val="auto"/>
          <w:lang w:val="en-US" w:eastAsia="zh-CN"/>
        </w:rPr>
        <w:t>5</w:t>
      </w:r>
      <w:r>
        <w:rPr>
          <w:color w:val="auto"/>
        </w:rPr>
        <w:t>地面运输</w:t>
      </w:r>
    </w:p>
    <w:p>
      <w:pPr>
        <w:spacing w:line="360" w:lineRule="auto"/>
        <w:ind w:firstLine="480" w:firstLineChars="200"/>
        <w:rPr>
          <w:color w:val="auto"/>
          <w:sz w:val="24"/>
        </w:rPr>
      </w:pPr>
      <w:r>
        <w:rPr>
          <w:rFonts w:hint="eastAsia"/>
          <w:color w:val="auto"/>
          <w:sz w:val="24"/>
        </w:rPr>
        <w:t>本</w:t>
      </w:r>
      <w:r>
        <w:rPr>
          <w:color w:val="auto"/>
          <w:sz w:val="24"/>
        </w:rPr>
        <w:t>项目的产品</w:t>
      </w:r>
      <w:r>
        <w:rPr>
          <w:rFonts w:hint="eastAsia"/>
          <w:color w:val="auto"/>
          <w:sz w:val="24"/>
        </w:rPr>
        <w:t>、</w:t>
      </w:r>
      <w:r>
        <w:rPr>
          <w:color w:val="auto"/>
          <w:sz w:val="24"/>
        </w:rPr>
        <w:t>原材料运输主要依靠</w:t>
      </w:r>
      <w:r>
        <w:rPr>
          <w:rFonts w:hint="eastAsia"/>
          <w:color w:val="auto"/>
          <w:sz w:val="24"/>
          <w:lang w:eastAsia="zh-CN"/>
        </w:rPr>
        <w:t>农用</w:t>
      </w:r>
      <w:r>
        <w:rPr>
          <w:color w:val="auto"/>
          <w:sz w:val="24"/>
        </w:rPr>
        <w:t>车运输，</w:t>
      </w:r>
      <w:r>
        <w:rPr>
          <w:rFonts w:hint="eastAsia"/>
          <w:color w:val="auto"/>
          <w:sz w:val="24"/>
        </w:rPr>
        <w:t>矿区内道路与外部公路连通较好</w:t>
      </w:r>
      <w:r>
        <w:rPr>
          <w:color w:val="auto"/>
          <w:sz w:val="24"/>
        </w:rPr>
        <w:t>，运输能力由公司现有交通工具，客户自备车辆联合来解决。</w:t>
      </w:r>
    </w:p>
    <w:p>
      <w:pPr>
        <w:pStyle w:val="5"/>
        <w:rPr>
          <w:color w:val="auto"/>
        </w:rPr>
      </w:pPr>
      <w:r>
        <w:rPr>
          <w:rFonts w:hint="eastAsia"/>
          <w:color w:val="auto"/>
          <w:lang w:val="en-US" w:eastAsia="zh-CN"/>
        </w:rPr>
        <w:t>2.2.6</w:t>
      </w:r>
      <w:r>
        <w:rPr>
          <w:color w:val="auto"/>
        </w:rPr>
        <w:t>劳动定员及工作制度</w:t>
      </w:r>
    </w:p>
    <w:p>
      <w:pPr>
        <w:spacing w:line="360" w:lineRule="auto"/>
        <w:ind w:firstLine="480" w:firstLineChars="200"/>
        <w:rPr>
          <w:color w:val="auto"/>
          <w:sz w:val="24"/>
        </w:rPr>
      </w:pPr>
      <w:r>
        <w:rPr>
          <w:color w:val="auto"/>
          <w:sz w:val="24"/>
        </w:rPr>
        <w:t>劳动定员：</w:t>
      </w:r>
      <w:r>
        <w:rPr>
          <w:rFonts w:hint="eastAsia"/>
          <w:color w:val="auto"/>
          <w:sz w:val="24"/>
        </w:rPr>
        <w:t>本</w:t>
      </w:r>
      <w:r>
        <w:rPr>
          <w:color w:val="auto"/>
          <w:sz w:val="24"/>
        </w:rPr>
        <w:t>项目劳动定员</w:t>
      </w:r>
      <w:r>
        <w:rPr>
          <w:rFonts w:hint="eastAsia"/>
          <w:color w:val="auto"/>
          <w:sz w:val="24"/>
        </w:rPr>
        <w:t>3</w:t>
      </w:r>
      <w:r>
        <w:rPr>
          <w:rFonts w:hint="eastAsia"/>
          <w:color w:val="auto"/>
          <w:sz w:val="24"/>
          <w:lang w:val="en-US" w:eastAsia="zh-CN"/>
        </w:rPr>
        <w:t>6</w:t>
      </w:r>
      <w:r>
        <w:rPr>
          <w:color w:val="auto"/>
          <w:sz w:val="24"/>
        </w:rPr>
        <w:t>人，其中管理人员</w:t>
      </w:r>
      <w:r>
        <w:rPr>
          <w:rFonts w:hint="eastAsia"/>
          <w:color w:val="auto"/>
          <w:sz w:val="24"/>
          <w:lang w:val="en-US" w:eastAsia="zh-CN"/>
        </w:rPr>
        <w:t>6</w:t>
      </w:r>
      <w:r>
        <w:rPr>
          <w:color w:val="auto"/>
          <w:sz w:val="24"/>
        </w:rPr>
        <w:t>人，生产人员</w:t>
      </w:r>
      <w:r>
        <w:rPr>
          <w:rFonts w:hint="eastAsia"/>
          <w:color w:val="auto"/>
          <w:sz w:val="24"/>
          <w:lang w:val="en-US" w:eastAsia="zh-CN"/>
        </w:rPr>
        <w:t>30</w:t>
      </w:r>
      <w:r>
        <w:rPr>
          <w:color w:val="auto"/>
          <w:sz w:val="24"/>
        </w:rPr>
        <w:t>人。</w:t>
      </w:r>
    </w:p>
    <w:p>
      <w:pPr>
        <w:spacing w:line="360" w:lineRule="auto"/>
        <w:ind w:firstLine="480" w:firstLineChars="200"/>
        <w:rPr>
          <w:color w:val="auto"/>
          <w:sz w:val="24"/>
        </w:rPr>
      </w:pPr>
      <w:r>
        <w:rPr>
          <w:color w:val="auto"/>
          <w:sz w:val="24"/>
        </w:rPr>
        <w:t>工作制度：全年工作日3</w:t>
      </w:r>
      <w:r>
        <w:rPr>
          <w:rFonts w:hint="eastAsia"/>
          <w:color w:val="auto"/>
          <w:sz w:val="24"/>
        </w:rPr>
        <w:t>0</w:t>
      </w:r>
      <w:r>
        <w:rPr>
          <w:color w:val="auto"/>
          <w:sz w:val="24"/>
        </w:rPr>
        <w:t>0天，采用</w:t>
      </w:r>
      <w:r>
        <w:rPr>
          <w:rFonts w:hint="eastAsia"/>
          <w:color w:val="auto"/>
          <w:sz w:val="24"/>
        </w:rPr>
        <w:t>2</w:t>
      </w:r>
      <w:r>
        <w:rPr>
          <w:color w:val="auto"/>
          <w:sz w:val="24"/>
        </w:rPr>
        <w:t>班运作制，每班工作8小时。</w:t>
      </w:r>
    </w:p>
    <w:p>
      <w:pPr>
        <w:pStyle w:val="5"/>
        <w:rPr>
          <w:rFonts w:hint="eastAsia"/>
          <w:color w:val="auto"/>
        </w:rPr>
      </w:pPr>
      <w:r>
        <w:rPr>
          <w:rFonts w:hint="eastAsia"/>
          <w:color w:val="auto"/>
          <w:lang w:val="en-US" w:eastAsia="zh-CN"/>
        </w:rPr>
        <w:t>2.2.6</w:t>
      </w:r>
      <w:r>
        <w:rPr>
          <w:rFonts w:hint="eastAsia"/>
          <w:color w:val="auto"/>
        </w:rPr>
        <w:t>项目占地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auto"/>
          <w:sz w:val="24"/>
          <w:lang w:val="en-US" w:eastAsia="zh-CN"/>
        </w:rPr>
      </w:pPr>
      <w:r>
        <w:rPr>
          <w:rFonts w:hint="eastAsia"/>
          <w:color w:val="auto"/>
          <w:sz w:val="24"/>
        </w:rPr>
        <w:t>本项目工业场地占地面积为0.6hm</w:t>
      </w:r>
      <w:r>
        <w:rPr>
          <w:rFonts w:hint="eastAsia"/>
          <w:color w:val="auto"/>
          <w:sz w:val="24"/>
          <w:vertAlign w:val="superscript"/>
        </w:rPr>
        <w:t>2</w:t>
      </w:r>
      <w:r>
        <w:rPr>
          <w:rFonts w:hint="eastAsia"/>
          <w:color w:val="auto"/>
          <w:sz w:val="24"/>
        </w:rPr>
        <w:t>，全部为林地。</w:t>
      </w:r>
    </w:p>
    <w:p>
      <w:pPr>
        <w:pStyle w:val="4"/>
        <w:rPr>
          <w:color w:val="auto"/>
        </w:rPr>
      </w:pPr>
      <w:bookmarkStart w:id="167" w:name="_Toc27115"/>
      <w:bookmarkStart w:id="168" w:name="_Toc15787"/>
      <w:bookmarkStart w:id="169" w:name="_Toc10903"/>
      <w:bookmarkStart w:id="170" w:name="_Toc29465"/>
      <w:bookmarkStart w:id="171" w:name="_Toc9888"/>
      <w:bookmarkStart w:id="172" w:name="_Toc5130"/>
      <w:bookmarkStart w:id="173" w:name="_Toc13783"/>
      <w:bookmarkStart w:id="174" w:name="_Toc11256"/>
      <w:bookmarkStart w:id="175" w:name="_Toc13184"/>
      <w:bookmarkStart w:id="176" w:name="_Toc7116"/>
      <w:bookmarkStart w:id="177" w:name="_Toc8122"/>
      <w:r>
        <w:rPr>
          <w:rFonts w:hint="eastAsia"/>
          <w:color w:val="auto"/>
          <w:lang w:val="en-US" w:eastAsia="zh-CN"/>
        </w:rPr>
        <w:t>2</w:t>
      </w:r>
      <w:r>
        <w:rPr>
          <w:color w:val="auto"/>
        </w:rPr>
        <w:t>.</w:t>
      </w:r>
      <w:r>
        <w:rPr>
          <w:rFonts w:hint="eastAsia"/>
          <w:color w:val="auto"/>
          <w:lang w:val="en-US" w:eastAsia="zh-CN"/>
        </w:rPr>
        <w:t>3</w:t>
      </w:r>
      <w:r>
        <w:rPr>
          <w:color w:val="auto"/>
        </w:rPr>
        <w:t xml:space="preserve"> 本项目工程分析</w:t>
      </w:r>
      <w:bookmarkEnd w:id="167"/>
      <w:bookmarkEnd w:id="168"/>
      <w:bookmarkEnd w:id="169"/>
      <w:bookmarkEnd w:id="170"/>
      <w:bookmarkEnd w:id="171"/>
      <w:bookmarkEnd w:id="172"/>
      <w:bookmarkEnd w:id="173"/>
      <w:bookmarkEnd w:id="174"/>
      <w:bookmarkEnd w:id="175"/>
      <w:bookmarkEnd w:id="176"/>
      <w:bookmarkEnd w:id="177"/>
    </w:p>
    <w:p>
      <w:pPr>
        <w:spacing w:line="360" w:lineRule="auto"/>
        <w:ind w:left="0" w:leftChars="0" w:firstLine="480" w:firstLineChars="200"/>
        <w:rPr>
          <w:rFonts w:hint="eastAsia"/>
          <w:color w:val="auto"/>
          <w:sz w:val="24"/>
          <w:lang w:eastAsia="zh-CN"/>
        </w:rPr>
      </w:pPr>
      <w:r>
        <w:rPr>
          <w:rFonts w:hint="eastAsia"/>
          <w:color w:val="auto"/>
          <w:sz w:val="24"/>
          <w:lang w:eastAsia="zh-CN"/>
        </w:rPr>
        <w:t>本项目工艺主要工艺为采矿。</w:t>
      </w:r>
    </w:p>
    <w:p>
      <w:pPr>
        <w:pStyle w:val="5"/>
        <w:rPr>
          <w:rFonts w:hint="eastAsia"/>
          <w:color w:val="auto"/>
        </w:rPr>
      </w:pPr>
      <w:bookmarkStart w:id="178" w:name="_Toc296763766"/>
      <w:r>
        <w:rPr>
          <w:rFonts w:hint="eastAsia"/>
          <w:color w:val="auto"/>
          <w:lang w:val="en-US" w:eastAsia="zh-CN"/>
        </w:rPr>
        <w:t>2</w:t>
      </w:r>
      <w:r>
        <w:rPr>
          <w:rFonts w:hint="eastAsia"/>
          <w:color w:val="auto"/>
        </w:rPr>
        <w:t>.</w:t>
      </w:r>
      <w:r>
        <w:rPr>
          <w:rFonts w:hint="eastAsia"/>
          <w:color w:val="auto"/>
          <w:lang w:val="en-US" w:eastAsia="zh-CN"/>
        </w:rPr>
        <w:t>3.1</w:t>
      </w:r>
      <w:r>
        <w:rPr>
          <w:rFonts w:hint="eastAsia"/>
          <w:color w:val="auto"/>
        </w:rPr>
        <w:t>矿山开采现状</w:t>
      </w:r>
      <w:bookmarkEnd w:id="178"/>
    </w:p>
    <w:p>
      <w:pPr>
        <w:spacing w:line="500" w:lineRule="exact"/>
        <w:ind w:firstLine="480"/>
        <w:rPr>
          <w:rFonts w:hint="eastAsia"/>
          <w:color w:val="auto"/>
          <w:sz w:val="24"/>
        </w:rPr>
      </w:pPr>
      <w:r>
        <w:rPr>
          <w:rFonts w:hint="eastAsia"/>
          <w:color w:val="auto"/>
          <w:sz w:val="24"/>
        </w:rPr>
        <w:t>原有矿山主要在Ⅳ矿体进行开采，通过主斜井开拓有＋89米和＋75米两个中段，其中＋89米中段以上矿体已经进行了开采，形成有2个采空区，在主斜井的西侧形成面积约600m</w:t>
      </w:r>
      <w:r>
        <w:rPr>
          <w:rFonts w:hint="eastAsia"/>
          <w:color w:val="auto"/>
          <w:sz w:val="24"/>
          <w:vertAlign w:val="superscript"/>
        </w:rPr>
        <w:t>2</w:t>
      </w:r>
      <w:r>
        <w:rPr>
          <w:rFonts w:hint="eastAsia"/>
          <w:color w:val="auto"/>
          <w:sz w:val="24"/>
        </w:rPr>
        <w:t>大小的采空区，在主斜井的东侧形成面积约1500m</w:t>
      </w:r>
      <w:r>
        <w:rPr>
          <w:rFonts w:hint="eastAsia"/>
          <w:color w:val="auto"/>
          <w:sz w:val="24"/>
          <w:vertAlign w:val="superscript"/>
        </w:rPr>
        <w:t>2</w:t>
      </w:r>
      <w:r>
        <w:rPr>
          <w:rFonts w:hint="eastAsia"/>
          <w:color w:val="auto"/>
          <w:sz w:val="24"/>
        </w:rPr>
        <w:t>大小的采空区（见总平面布置图）。至2008年6月30日，矿山已安全生产矿石3万余吨。</w:t>
      </w:r>
    </w:p>
    <w:p>
      <w:pPr>
        <w:spacing w:line="500" w:lineRule="exact"/>
        <w:ind w:firstLine="480"/>
        <w:rPr>
          <w:rFonts w:hint="eastAsia"/>
          <w:color w:val="auto"/>
          <w:sz w:val="24"/>
        </w:rPr>
      </w:pPr>
      <w:r>
        <w:rPr>
          <w:rFonts w:hint="eastAsia"/>
          <w:color w:val="auto"/>
          <w:sz w:val="24"/>
        </w:rPr>
        <w:t>主斜井安装JT-0.8×0.6型矿用提升机1台。该斜井用于提升矿石、废石、材料等，并兼作人行通道和进风井。其西南侧布置有一回风斜井至＋89米中段。</w:t>
      </w:r>
    </w:p>
    <w:p>
      <w:pPr>
        <w:spacing w:line="500" w:lineRule="exact"/>
        <w:ind w:firstLine="480"/>
        <w:rPr>
          <w:rFonts w:hint="eastAsia"/>
          <w:color w:val="auto"/>
          <w:sz w:val="24"/>
        </w:rPr>
      </w:pPr>
      <w:r>
        <w:rPr>
          <w:rFonts w:hint="eastAsia"/>
          <w:color w:val="auto"/>
          <w:sz w:val="24"/>
        </w:rPr>
        <w:t>通风斜井用于排出矿井污风并兼作矿井安全出口。现有通风设备：主扇为FBCZ-N09.0/11型1台,功率为11kW。</w:t>
      </w:r>
    </w:p>
    <w:p>
      <w:pPr>
        <w:spacing w:line="500" w:lineRule="exact"/>
        <w:ind w:firstLine="480"/>
        <w:rPr>
          <w:rFonts w:hint="eastAsia"/>
          <w:color w:val="auto"/>
          <w:sz w:val="24"/>
        </w:rPr>
      </w:pPr>
      <w:r>
        <w:rPr>
          <w:rFonts w:hint="eastAsia"/>
          <w:color w:val="auto"/>
          <w:sz w:val="24"/>
        </w:rPr>
        <w:t>另外，Ⅰ号矿体南端施工有1号平硐，自硐口＋126米至坑下＋107米，略带5°的下坡。</w:t>
      </w:r>
    </w:p>
    <w:p>
      <w:pPr>
        <w:spacing w:line="500" w:lineRule="exact"/>
        <w:ind w:firstLine="480"/>
        <w:rPr>
          <w:rFonts w:hint="eastAsia"/>
          <w:color w:val="auto"/>
          <w:sz w:val="24"/>
        </w:rPr>
      </w:pPr>
      <w:r>
        <w:rPr>
          <w:rFonts w:hint="eastAsia"/>
          <w:color w:val="auto"/>
          <w:sz w:val="24"/>
        </w:rPr>
        <w:t>Ⅳ矿体井下运输提升矿石及废石用0.5m</w:t>
      </w:r>
      <w:r>
        <w:rPr>
          <w:rFonts w:hint="eastAsia"/>
          <w:color w:val="auto"/>
          <w:sz w:val="24"/>
          <w:vertAlign w:val="superscript"/>
        </w:rPr>
        <w:t>3</w:t>
      </w:r>
      <w:r>
        <w:rPr>
          <w:rFonts w:hint="eastAsia"/>
          <w:color w:val="auto"/>
          <w:sz w:val="24"/>
        </w:rPr>
        <w:t>翻转式矿车。采场矿石由溜矿井放矿装入翻转式矿车，由提升绞车提升至地表，运往矿石堆场。</w:t>
      </w:r>
    </w:p>
    <w:p>
      <w:pPr>
        <w:spacing w:line="500" w:lineRule="exact"/>
        <w:ind w:firstLine="480"/>
        <w:rPr>
          <w:rFonts w:hint="eastAsia"/>
          <w:color w:val="auto"/>
          <w:sz w:val="24"/>
        </w:rPr>
      </w:pPr>
      <w:r>
        <w:rPr>
          <w:rFonts w:hint="eastAsia"/>
          <w:color w:val="auto"/>
          <w:sz w:val="24"/>
        </w:rPr>
        <w:t>井下排水系统：+75m中段主斜井井底车场设有排水站，配置潜水泵3台，型号为100D-16×5。坑下水由水泵经主斜井排至地表。</w:t>
      </w:r>
    </w:p>
    <w:p>
      <w:pPr>
        <w:pStyle w:val="5"/>
        <w:rPr>
          <w:rFonts w:hint="eastAsia"/>
          <w:color w:val="auto"/>
        </w:rPr>
      </w:pPr>
      <w:bookmarkStart w:id="179" w:name="_Toc296763767"/>
      <w:r>
        <w:rPr>
          <w:rFonts w:hint="eastAsia"/>
          <w:color w:val="auto"/>
          <w:lang w:val="en-US" w:eastAsia="zh-CN"/>
        </w:rPr>
        <w:t>2</w:t>
      </w:r>
      <w:r>
        <w:rPr>
          <w:rFonts w:hint="eastAsia"/>
          <w:color w:val="auto"/>
        </w:rPr>
        <w:t>.</w:t>
      </w:r>
      <w:r>
        <w:rPr>
          <w:rFonts w:hint="eastAsia"/>
          <w:color w:val="auto"/>
          <w:lang w:val="en-US" w:eastAsia="zh-CN"/>
        </w:rPr>
        <w:t>3.2</w:t>
      </w:r>
      <w:r>
        <w:rPr>
          <w:rFonts w:hint="eastAsia"/>
          <w:color w:val="auto"/>
        </w:rPr>
        <w:t>资源储量及设计利用量</w:t>
      </w:r>
      <w:bookmarkEnd w:id="179"/>
    </w:p>
    <w:p>
      <w:pPr>
        <w:pStyle w:val="2"/>
        <w:ind w:left="0" w:leftChars="0" w:firstLine="480" w:firstLineChars="200"/>
        <w:rPr>
          <w:rFonts w:hint="eastAsia"/>
          <w:color w:val="auto"/>
          <w:lang w:eastAsia="zh-CN"/>
        </w:rPr>
      </w:pPr>
      <w:r>
        <w:rPr>
          <w:rFonts w:hint="eastAsia"/>
          <w:color w:val="auto"/>
          <w:sz w:val="24"/>
        </w:rPr>
        <w:t>根据《安徽省贵池区姚街铅锌矿资源储量核实报告》，姚街铅锌矿共有4个矿体，编号为Ⅰ号、Ⅱ号、Ⅲ号和Ⅳ号，矿权内保有资源储量共10.22吨，其中矿权范围内保有储量为</w:t>
      </w:r>
      <w:r>
        <w:rPr>
          <w:rFonts w:hint="eastAsia" w:hAnsi="宋体"/>
          <w:color w:val="auto"/>
          <w:sz w:val="24"/>
        </w:rPr>
        <w:t>6.8287万吨，根据可研报告，主斜井保安矿柱损失矿量1620吨，</w:t>
      </w:r>
      <w:r>
        <w:rPr>
          <w:rFonts w:hint="eastAsia"/>
          <w:color w:val="auto"/>
          <w:sz w:val="24"/>
        </w:rPr>
        <w:t>Ⅳ号+55m尖灭损失矿量310吨，Ⅰ号矿体+115米以下尖灭损失矿量1250吨，Ⅱ号和Ⅲ号设计中段以下尖灭损失矿量3960吨，合计损失矿量7140吨，</w:t>
      </w:r>
      <w:r>
        <w:rPr>
          <w:rFonts w:hint="eastAsia" w:hAnsi="宋体"/>
          <w:color w:val="auto"/>
          <w:sz w:val="24"/>
        </w:rPr>
        <w:t>6.8287万吨-0.7140万吨=6.1147万吨，姚街铅锌矿可研矿山资源利用情况见表3</w:t>
      </w:r>
      <w:r>
        <w:rPr>
          <w:rFonts w:hint="eastAsia" w:hAnsi="宋体"/>
          <w:color w:val="auto"/>
          <w:sz w:val="24"/>
          <w:lang w:val="en-US" w:eastAsia="zh-CN"/>
        </w:rPr>
        <w:t>.3-1</w:t>
      </w:r>
      <w:r>
        <w:rPr>
          <w:rFonts w:hint="eastAsia" w:hAnsi="宋体"/>
          <w:color w:val="auto"/>
          <w:sz w:val="24"/>
        </w:rPr>
        <w:t>。开采范围内资源储量分布见表</w:t>
      </w:r>
      <w:r>
        <w:rPr>
          <w:rFonts w:hint="eastAsia" w:hAnsi="宋体"/>
          <w:color w:val="auto"/>
          <w:sz w:val="24"/>
          <w:lang w:val="en-US" w:eastAsia="zh-CN"/>
        </w:rPr>
        <w:t>2.3-2</w:t>
      </w:r>
      <w:r>
        <w:rPr>
          <w:rFonts w:hint="eastAsia" w:hAnsi="宋体"/>
          <w:color w:val="auto"/>
          <w:sz w:val="24"/>
        </w:rPr>
        <w:t>。</w:t>
      </w:r>
    </w:p>
    <w:p>
      <w:pPr>
        <w:spacing w:line="360" w:lineRule="auto"/>
        <w:ind w:firstLine="48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表</w:t>
      </w:r>
      <w:r>
        <w:rPr>
          <w:rFonts w:hint="eastAsia" w:cs="Times New Roman"/>
          <w:b/>
          <w:bCs w:val="0"/>
          <w:color w:val="auto"/>
          <w:sz w:val="21"/>
          <w:szCs w:val="21"/>
          <w:lang w:val="en-US" w:eastAsia="zh-CN"/>
        </w:rPr>
        <w:t>2</w:t>
      </w:r>
      <w:r>
        <w:rPr>
          <w:rFonts w:hint="default" w:ascii="Times New Roman" w:hAnsi="Times New Roman" w:eastAsia="宋体" w:cs="Times New Roman"/>
          <w:b/>
          <w:bCs w:val="0"/>
          <w:color w:val="auto"/>
          <w:sz w:val="21"/>
          <w:szCs w:val="21"/>
          <w:lang w:val="en-US" w:eastAsia="zh-CN"/>
        </w:rPr>
        <w:t>.3-</w:t>
      </w:r>
      <w:r>
        <w:rPr>
          <w:rFonts w:hint="default" w:ascii="Times New Roman" w:hAnsi="Times New Roman" w:eastAsia="宋体" w:cs="Times New Roman"/>
          <w:b/>
          <w:bCs w:val="0"/>
          <w:color w:val="auto"/>
          <w:sz w:val="21"/>
          <w:szCs w:val="21"/>
        </w:rPr>
        <w:t>1</w:t>
      </w:r>
      <w:r>
        <w:rPr>
          <w:rFonts w:hint="default" w:ascii="Times New Roman" w:hAnsi="Times New Roman" w:eastAsia="宋体" w:cs="Times New Roman"/>
          <w:b/>
          <w:bCs w:val="0"/>
          <w:color w:val="auto"/>
          <w:sz w:val="21"/>
          <w:szCs w:val="21"/>
          <w:lang w:val="en-US" w:eastAsia="zh-CN"/>
        </w:rPr>
        <w:t xml:space="preserve"> </w:t>
      </w:r>
      <w:r>
        <w:rPr>
          <w:rFonts w:hint="default" w:ascii="Times New Roman" w:hAnsi="Times New Roman" w:eastAsia="宋体" w:cs="Times New Roman"/>
          <w:b/>
          <w:bCs w:val="0"/>
          <w:color w:val="auto"/>
          <w:sz w:val="21"/>
          <w:szCs w:val="21"/>
        </w:rPr>
        <w:t>可研矿山资源利用情况</w:t>
      </w:r>
    </w:p>
    <w:tbl>
      <w:tblPr>
        <w:tblStyle w:val="17"/>
        <w:tblW w:w="8787" w:type="dxa"/>
        <w:jc w:val="center"/>
        <w:tblInd w:w="-137"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28" w:type="dxa"/>
        </w:tblCellMar>
      </w:tblPr>
      <w:tblGrid>
        <w:gridCol w:w="753"/>
        <w:gridCol w:w="822"/>
        <w:gridCol w:w="1304"/>
        <w:gridCol w:w="1304"/>
        <w:gridCol w:w="1304"/>
        <w:gridCol w:w="1146"/>
        <w:gridCol w:w="1275"/>
        <w:gridCol w:w="87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28" w:type="dxa"/>
          </w:tblCellMar>
        </w:tblPrEx>
        <w:trPr>
          <w:trHeight w:val="283" w:hRule="atLeast"/>
          <w:jc w:val="center"/>
        </w:trPr>
        <w:tc>
          <w:tcPr>
            <w:tcW w:w="75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矿体</w:t>
            </w:r>
          </w:p>
        </w:tc>
        <w:tc>
          <w:tcPr>
            <w:tcW w:w="82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中段</w:t>
            </w:r>
          </w:p>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（m</w:t>
            </w:r>
            <w:r>
              <w:rPr>
                <w:rFonts w:hint="eastAsia" w:ascii="Times New Roman" w:hAnsi="Times New Roman" w:cs="Times New Roman"/>
                <w:b/>
                <w:bCs/>
                <w:color w:val="auto"/>
                <w:sz w:val="21"/>
                <w:szCs w:val="21"/>
                <w:lang w:eastAsia="zh-CN"/>
              </w:rPr>
              <w:t>）</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保有资源量（t）</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设计利用储量（t）</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开采回采率</w:t>
            </w:r>
          </w:p>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w:t>
            </w:r>
          </w:p>
        </w:tc>
        <w:tc>
          <w:tcPr>
            <w:tcW w:w="114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回采储量</w:t>
            </w:r>
          </w:p>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(t)</w:t>
            </w:r>
          </w:p>
        </w:tc>
        <w:tc>
          <w:tcPr>
            <w:tcW w:w="127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采矿平化率</w:t>
            </w:r>
          </w:p>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w:t>
            </w:r>
          </w:p>
        </w:tc>
        <w:tc>
          <w:tcPr>
            <w:tcW w:w="87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采矿量</w:t>
            </w:r>
          </w:p>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28" w:type="dxa"/>
          </w:tblCellMar>
        </w:tblPrEx>
        <w:trPr>
          <w:trHeight w:val="283" w:hRule="atLeast"/>
          <w:jc w:val="center"/>
        </w:trPr>
        <w:tc>
          <w:tcPr>
            <w:tcW w:w="75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Ⅰ</w:t>
            </w:r>
          </w:p>
        </w:tc>
        <w:tc>
          <w:tcPr>
            <w:tcW w:w="82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+115</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3638</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2388</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79.52</w:t>
            </w:r>
          </w:p>
        </w:tc>
        <w:tc>
          <w:tcPr>
            <w:tcW w:w="114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1899</w:t>
            </w:r>
          </w:p>
        </w:tc>
        <w:tc>
          <w:tcPr>
            <w:tcW w:w="127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87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2374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28" w:type="dxa"/>
          </w:tblCellMar>
        </w:tblPrEx>
        <w:trPr>
          <w:trHeight w:val="283" w:hRule="atLeast"/>
          <w:jc w:val="center"/>
        </w:trPr>
        <w:tc>
          <w:tcPr>
            <w:tcW w:w="75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Ⅱ</w:t>
            </w:r>
          </w:p>
        </w:tc>
        <w:tc>
          <w:tcPr>
            <w:tcW w:w="82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+145</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17545</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15565</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79.52</w:t>
            </w:r>
          </w:p>
        </w:tc>
        <w:tc>
          <w:tcPr>
            <w:tcW w:w="114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12377</w:t>
            </w:r>
          </w:p>
        </w:tc>
        <w:tc>
          <w:tcPr>
            <w:tcW w:w="127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87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15471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28" w:type="dxa"/>
          </w:tblCellMar>
        </w:tblPrEx>
        <w:trPr>
          <w:trHeight w:val="283" w:hRule="atLeast"/>
          <w:jc w:val="center"/>
        </w:trPr>
        <w:tc>
          <w:tcPr>
            <w:tcW w:w="75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Ⅲ</w:t>
            </w:r>
          </w:p>
        </w:tc>
        <w:tc>
          <w:tcPr>
            <w:tcW w:w="82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+155</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4514</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2534</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79.52</w:t>
            </w:r>
          </w:p>
        </w:tc>
        <w:tc>
          <w:tcPr>
            <w:tcW w:w="114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2016</w:t>
            </w:r>
          </w:p>
        </w:tc>
        <w:tc>
          <w:tcPr>
            <w:tcW w:w="127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87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28" w:type="dxa"/>
          </w:tblCellMar>
        </w:tblPrEx>
        <w:trPr>
          <w:trHeight w:val="283" w:hRule="atLeast"/>
          <w:jc w:val="center"/>
        </w:trPr>
        <w:tc>
          <w:tcPr>
            <w:tcW w:w="75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Ⅳ</w:t>
            </w:r>
          </w:p>
        </w:tc>
        <w:tc>
          <w:tcPr>
            <w:tcW w:w="82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+75</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25516</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24360</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79.52</w:t>
            </w:r>
          </w:p>
        </w:tc>
        <w:tc>
          <w:tcPr>
            <w:tcW w:w="114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19370</w:t>
            </w:r>
          </w:p>
        </w:tc>
        <w:tc>
          <w:tcPr>
            <w:tcW w:w="127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87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24213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28" w:type="dxa"/>
          </w:tblCellMar>
        </w:tblPrEx>
        <w:trPr>
          <w:trHeight w:val="283" w:hRule="atLeast"/>
          <w:jc w:val="center"/>
        </w:trPr>
        <w:tc>
          <w:tcPr>
            <w:tcW w:w="75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p>
        </w:tc>
        <w:tc>
          <w:tcPr>
            <w:tcW w:w="82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17074</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16300</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79.52</w:t>
            </w:r>
          </w:p>
        </w:tc>
        <w:tc>
          <w:tcPr>
            <w:tcW w:w="114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12962</w:t>
            </w:r>
          </w:p>
        </w:tc>
        <w:tc>
          <w:tcPr>
            <w:tcW w:w="127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87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16203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28" w:type="dxa"/>
          </w:tblCellMar>
        </w:tblPrEx>
        <w:trPr>
          <w:trHeight w:val="283" w:hRule="atLeast"/>
          <w:jc w:val="center"/>
        </w:trPr>
        <w:tc>
          <w:tcPr>
            <w:tcW w:w="75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p>
        </w:tc>
        <w:tc>
          <w:tcPr>
            <w:tcW w:w="82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小计</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42590</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40660</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79.52</w:t>
            </w:r>
          </w:p>
        </w:tc>
        <w:tc>
          <w:tcPr>
            <w:tcW w:w="114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32332</w:t>
            </w:r>
          </w:p>
        </w:tc>
        <w:tc>
          <w:tcPr>
            <w:tcW w:w="127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87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40415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28" w:type="dxa"/>
          </w:tblCellMar>
        </w:tblPrEx>
        <w:trPr>
          <w:trHeight w:val="283" w:hRule="atLeast"/>
          <w:jc w:val="center"/>
        </w:trPr>
        <w:tc>
          <w:tcPr>
            <w:tcW w:w="75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p>
        </w:tc>
        <w:tc>
          <w:tcPr>
            <w:tcW w:w="82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68287</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41147</w:t>
            </w:r>
          </w:p>
        </w:tc>
        <w:tc>
          <w:tcPr>
            <w:tcW w:w="13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79.52</w:t>
            </w:r>
          </w:p>
        </w:tc>
        <w:tc>
          <w:tcPr>
            <w:tcW w:w="114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48624</w:t>
            </w:r>
          </w:p>
        </w:tc>
        <w:tc>
          <w:tcPr>
            <w:tcW w:w="127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w:t>
            </w:r>
          </w:p>
        </w:tc>
        <w:tc>
          <w:tcPr>
            <w:tcW w:w="87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60780</w:t>
            </w:r>
          </w:p>
        </w:tc>
      </w:tr>
    </w:tbl>
    <w:p>
      <w:pPr>
        <w:autoSpaceDE w:val="0"/>
        <w:autoSpaceDN w:val="0"/>
        <w:adjustRightInd w:val="0"/>
        <w:spacing w:line="360" w:lineRule="auto"/>
        <w:jc w:val="center"/>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表</w:t>
      </w:r>
      <w:r>
        <w:rPr>
          <w:rFonts w:hint="eastAsia" w:cs="Times New Roman"/>
          <w:b/>
          <w:bCs w:val="0"/>
          <w:color w:val="auto"/>
          <w:sz w:val="21"/>
          <w:szCs w:val="21"/>
          <w:lang w:val="en-US" w:eastAsia="zh-CN"/>
        </w:rPr>
        <w:t>2</w:t>
      </w:r>
      <w:r>
        <w:rPr>
          <w:rFonts w:hint="eastAsia" w:ascii="Times New Roman" w:hAnsi="Times New Roman" w:cs="Times New Roman"/>
          <w:b/>
          <w:bCs w:val="0"/>
          <w:color w:val="auto"/>
          <w:sz w:val="21"/>
          <w:szCs w:val="21"/>
          <w:lang w:val="en-US" w:eastAsia="zh-CN"/>
        </w:rPr>
        <w:t xml:space="preserve">.3-2 </w:t>
      </w:r>
      <w:r>
        <w:rPr>
          <w:rFonts w:hint="default" w:ascii="Times New Roman" w:hAnsi="Times New Roman" w:cs="Times New Roman"/>
          <w:b/>
          <w:bCs w:val="0"/>
          <w:color w:val="auto"/>
          <w:sz w:val="21"/>
          <w:szCs w:val="21"/>
        </w:rPr>
        <w:t>姚街铅锌矿开采范围内资源储量分布表</w:t>
      </w:r>
    </w:p>
    <w:tbl>
      <w:tblPr>
        <w:tblStyle w:val="16"/>
        <w:tblW w:w="8716" w:type="dxa"/>
        <w:jc w:val="center"/>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6"/>
        <w:gridCol w:w="898"/>
        <w:gridCol w:w="872"/>
        <w:gridCol w:w="850"/>
        <w:gridCol w:w="850"/>
        <w:gridCol w:w="850"/>
        <w:gridCol w:w="850"/>
        <w:gridCol w:w="850"/>
        <w:gridCol w:w="850"/>
        <w:gridCol w:w="107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776"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b/>
                <w:bCs/>
                <w:color w:val="auto"/>
                <w:sz w:val="21"/>
                <w:szCs w:val="21"/>
              </w:rPr>
            </w:pPr>
            <w:r>
              <w:rPr>
                <w:rFonts w:hint="eastAsia"/>
                <w:b/>
                <w:bCs/>
                <w:color w:val="auto"/>
                <w:sz w:val="21"/>
                <w:szCs w:val="21"/>
              </w:rPr>
              <w:t>矿体</w:t>
            </w:r>
          </w:p>
        </w:tc>
        <w:tc>
          <w:tcPr>
            <w:tcW w:w="898"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b/>
                <w:bCs/>
                <w:color w:val="auto"/>
                <w:sz w:val="21"/>
                <w:szCs w:val="21"/>
              </w:rPr>
            </w:pPr>
            <w:r>
              <w:rPr>
                <w:rFonts w:hint="eastAsia"/>
                <w:b/>
                <w:bCs/>
                <w:color w:val="auto"/>
                <w:sz w:val="21"/>
                <w:szCs w:val="21"/>
              </w:rPr>
              <w:t>中段（m）</w:t>
            </w:r>
          </w:p>
        </w:tc>
        <w:tc>
          <w:tcPr>
            <w:tcW w:w="872"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b/>
                <w:bCs/>
                <w:color w:val="auto"/>
                <w:sz w:val="21"/>
                <w:szCs w:val="21"/>
              </w:rPr>
            </w:pPr>
            <w:r>
              <w:rPr>
                <w:rFonts w:hint="eastAsia"/>
                <w:b/>
                <w:bCs/>
                <w:color w:val="auto"/>
                <w:sz w:val="21"/>
                <w:szCs w:val="21"/>
              </w:rPr>
              <w:t>资源量（t）</w:t>
            </w:r>
          </w:p>
        </w:tc>
        <w:tc>
          <w:tcPr>
            <w:tcW w:w="2550" w:type="dxa"/>
            <w:gridSpan w:val="3"/>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b/>
                <w:bCs/>
                <w:color w:val="auto"/>
                <w:sz w:val="21"/>
                <w:szCs w:val="21"/>
              </w:rPr>
            </w:pPr>
            <w:r>
              <w:rPr>
                <w:rFonts w:hint="eastAsia"/>
                <w:b/>
                <w:bCs/>
                <w:color w:val="auto"/>
                <w:sz w:val="21"/>
                <w:szCs w:val="21"/>
              </w:rPr>
              <w:t>品位（%），</w:t>
            </w:r>
            <w:r>
              <w:rPr>
                <w:rFonts w:hint="eastAsia" w:hAnsi="宋体"/>
                <w:b/>
                <w:bCs/>
                <w:color w:val="auto"/>
                <w:sz w:val="21"/>
                <w:szCs w:val="21"/>
              </w:rPr>
              <w:t>Ag：g/t</w:t>
            </w:r>
          </w:p>
        </w:tc>
        <w:tc>
          <w:tcPr>
            <w:tcW w:w="2550" w:type="dxa"/>
            <w:gridSpan w:val="3"/>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b/>
                <w:bCs/>
                <w:color w:val="auto"/>
                <w:sz w:val="21"/>
                <w:szCs w:val="21"/>
              </w:rPr>
            </w:pPr>
            <w:r>
              <w:rPr>
                <w:rFonts w:hint="eastAsia"/>
                <w:b/>
                <w:bCs/>
                <w:color w:val="auto"/>
                <w:sz w:val="21"/>
                <w:szCs w:val="21"/>
              </w:rPr>
              <w:t>金属量t，</w:t>
            </w:r>
            <w:r>
              <w:rPr>
                <w:rFonts w:hint="eastAsia" w:hAnsi="宋体"/>
                <w:b/>
                <w:bCs/>
                <w:color w:val="auto"/>
                <w:sz w:val="21"/>
                <w:szCs w:val="21"/>
              </w:rPr>
              <w:t>Ag：kg</w:t>
            </w:r>
          </w:p>
        </w:tc>
        <w:tc>
          <w:tcPr>
            <w:tcW w:w="1070"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b/>
                <w:bCs/>
                <w:color w:val="auto"/>
                <w:sz w:val="21"/>
                <w:szCs w:val="21"/>
              </w:rPr>
              <w:t>备注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776"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8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872"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850" w:type="dxa"/>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Pb</w:t>
            </w:r>
          </w:p>
        </w:tc>
        <w:tc>
          <w:tcPr>
            <w:tcW w:w="850" w:type="dxa"/>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Zn</w:t>
            </w:r>
          </w:p>
        </w:tc>
        <w:tc>
          <w:tcPr>
            <w:tcW w:w="850" w:type="dxa"/>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Ag</w:t>
            </w:r>
          </w:p>
        </w:tc>
        <w:tc>
          <w:tcPr>
            <w:tcW w:w="850" w:type="dxa"/>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Pb</w:t>
            </w:r>
          </w:p>
        </w:tc>
        <w:tc>
          <w:tcPr>
            <w:tcW w:w="850" w:type="dxa"/>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Zn</w:t>
            </w:r>
          </w:p>
        </w:tc>
        <w:tc>
          <w:tcPr>
            <w:tcW w:w="850" w:type="dxa"/>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Ag</w:t>
            </w:r>
          </w:p>
        </w:tc>
        <w:tc>
          <w:tcPr>
            <w:tcW w:w="1070"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7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hAnsi="宋体"/>
                <w:color w:val="auto"/>
                <w:sz w:val="21"/>
                <w:szCs w:val="21"/>
              </w:rPr>
              <w:t>Ⅰ</w:t>
            </w:r>
          </w:p>
        </w:tc>
        <w:tc>
          <w:tcPr>
            <w:tcW w:w="898"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+115</w:t>
            </w:r>
          </w:p>
        </w:tc>
        <w:tc>
          <w:tcPr>
            <w:tcW w:w="87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2388</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3.81</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1.41</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71.52</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91</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33.7</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171</w:t>
            </w:r>
          </w:p>
        </w:tc>
        <w:tc>
          <w:tcPr>
            <w:tcW w:w="107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333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7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hAnsi="宋体"/>
                <w:color w:val="auto"/>
                <w:sz w:val="21"/>
                <w:szCs w:val="21"/>
              </w:rPr>
            </w:pPr>
            <w:r>
              <w:rPr>
                <w:rFonts w:hint="eastAsia" w:hAnsi="宋体"/>
                <w:color w:val="auto"/>
                <w:sz w:val="21"/>
                <w:szCs w:val="21"/>
              </w:rPr>
              <w:t>Ⅱ</w:t>
            </w:r>
          </w:p>
        </w:tc>
        <w:tc>
          <w:tcPr>
            <w:tcW w:w="898"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+145</w:t>
            </w:r>
          </w:p>
        </w:tc>
        <w:tc>
          <w:tcPr>
            <w:tcW w:w="87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15565</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3.82</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1.73</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71.58</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594.6</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269.3</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1114</w:t>
            </w:r>
          </w:p>
        </w:tc>
        <w:tc>
          <w:tcPr>
            <w:tcW w:w="107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333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7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hAnsi="宋体"/>
                <w:color w:val="auto"/>
                <w:sz w:val="21"/>
                <w:szCs w:val="21"/>
              </w:rPr>
            </w:pPr>
            <w:r>
              <w:rPr>
                <w:rFonts w:hint="eastAsia" w:hAnsi="宋体"/>
                <w:color w:val="auto"/>
                <w:sz w:val="21"/>
                <w:szCs w:val="21"/>
              </w:rPr>
              <w:t>Ⅲ</w:t>
            </w:r>
          </w:p>
        </w:tc>
        <w:tc>
          <w:tcPr>
            <w:tcW w:w="898"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+155</w:t>
            </w:r>
          </w:p>
        </w:tc>
        <w:tc>
          <w:tcPr>
            <w:tcW w:w="87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2534</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1.97</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3.43</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37.17</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49.9</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86.9</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94</w:t>
            </w:r>
          </w:p>
        </w:tc>
        <w:tc>
          <w:tcPr>
            <w:tcW w:w="107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122b+333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76"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hAnsi="宋体"/>
                <w:color w:val="auto"/>
                <w:sz w:val="21"/>
                <w:szCs w:val="21"/>
              </w:rPr>
              <w:t>Ⅳ</w:t>
            </w:r>
          </w:p>
        </w:tc>
        <w:tc>
          <w:tcPr>
            <w:tcW w:w="898"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+75</w:t>
            </w:r>
          </w:p>
        </w:tc>
        <w:tc>
          <w:tcPr>
            <w:tcW w:w="87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24360</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4.08</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2.60</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172.0</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993.9</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633.4</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41.90</w:t>
            </w:r>
          </w:p>
        </w:tc>
        <w:tc>
          <w:tcPr>
            <w:tcW w:w="107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333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76"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898"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+55</w:t>
            </w:r>
          </w:p>
        </w:tc>
        <w:tc>
          <w:tcPr>
            <w:tcW w:w="87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16300</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4.08</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2.60</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172.0</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665.0</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423.8</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2804</w:t>
            </w:r>
          </w:p>
        </w:tc>
        <w:tc>
          <w:tcPr>
            <w:tcW w:w="107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122b</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76"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898"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小计</w:t>
            </w:r>
          </w:p>
        </w:tc>
        <w:tc>
          <w:tcPr>
            <w:tcW w:w="87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40660</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4.08</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2.60</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172.0</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1658.9</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1057.2</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6994</w:t>
            </w:r>
          </w:p>
        </w:tc>
        <w:tc>
          <w:tcPr>
            <w:tcW w:w="107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122b+333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674" w:type="dxa"/>
            <w:gridSpan w:val="2"/>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合计</w:t>
            </w:r>
          </w:p>
        </w:tc>
        <w:tc>
          <w:tcPr>
            <w:tcW w:w="87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41147</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3.91</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2.37</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136.9</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2394</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1447</w:t>
            </w:r>
          </w:p>
        </w:tc>
        <w:tc>
          <w:tcPr>
            <w:tcW w:w="85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8373</w:t>
            </w:r>
          </w:p>
        </w:tc>
        <w:tc>
          <w:tcPr>
            <w:tcW w:w="107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color w:val="auto"/>
                <w:sz w:val="21"/>
                <w:szCs w:val="21"/>
              </w:rPr>
              <w:t>122b+333</w:t>
            </w:r>
          </w:p>
        </w:tc>
      </w:tr>
    </w:tbl>
    <w:p>
      <w:pPr>
        <w:pStyle w:val="5"/>
        <w:rPr>
          <w:rFonts w:hint="eastAsia"/>
          <w:color w:val="auto"/>
        </w:rPr>
      </w:pPr>
      <w:r>
        <w:rPr>
          <w:rFonts w:hint="eastAsia"/>
          <w:color w:val="auto"/>
          <w:lang w:val="en-US" w:eastAsia="zh-CN"/>
        </w:rPr>
        <w:t>2.3.3</w:t>
      </w:r>
      <w:r>
        <w:rPr>
          <w:rFonts w:hint="eastAsia"/>
          <w:color w:val="auto"/>
        </w:rPr>
        <w:t>开采方式</w:t>
      </w:r>
    </w:p>
    <w:p>
      <w:pPr>
        <w:spacing w:line="360" w:lineRule="auto"/>
        <w:ind w:firstLine="560"/>
        <w:rPr>
          <w:rFonts w:hint="eastAsia" w:ascii="宋体" w:hAnsi="宋体" w:eastAsia="宋体" w:cs="宋体"/>
          <w:color w:val="auto"/>
          <w:lang w:val="en-US" w:eastAsia="zh-CN"/>
        </w:rPr>
      </w:pPr>
      <w:r>
        <w:rPr>
          <w:color w:val="auto"/>
          <w:sz w:val="24"/>
        </w:rPr>
        <w:t>矿区位于皖南山区，地形侵蚀切割较强烈，山势陡峭，山谷呈</w:t>
      </w:r>
      <w:r>
        <w:rPr>
          <w:rFonts w:hint="eastAsia" w:ascii="宋体" w:hAnsi="宋体" w:eastAsia="宋体" w:cs="宋体"/>
          <w:color w:val="auto"/>
          <w:sz w:val="24"/>
        </w:rPr>
        <w:t>“</w:t>
      </w:r>
      <w:r>
        <w:rPr>
          <w:color w:val="auto"/>
          <w:sz w:val="24"/>
        </w:rPr>
        <w:t>V</w:t>
      </w:r>
      <w:r>
        <w:rPr>
          <w:rFonts w:hint="eastAsia" w:ascii="宋体" w:hAnsi="宋体" w:eastAsia="宋体" w:cs="宋体"/>
          <w:color w:val="auto"/>
          <w:sz w:val="24"/>
        </w:rPr>
        <w:t>”</w:t>
      </w:r>
      <w:r>
        <w:rPr>
          <w:color w:val="auto"/>
          <w:sz w:val="24"/>
        </w:rPr>
        <w:t>字型。</w:t>
      </w:r>
      <w:r>
        <w:rPr>
          <w:rFonts w:hint="eastAsia"/>
          <w:color w:val="auto"/>
          <w:sz w:val="24"/>
        </w:rPr>
        <w:t>根据矿体的产状、赋存状态及</w:t>
      </w:r>
      <w:r>
        <w:rPr>
          <w:color w:val="auto"/>
          <w:sz w:val="24"/>
        </w:rPr>
        <w:t>目前采用</w:t>
      </w:r>
      <w:r>
        <w:rPr>
          <w:rFonts w:hint="eastAsia"/>
          <w:color w:val="auto"/>
          <w:sz w:val="24"/>
        </w:rPr>
        <w:t>的</w:t>
      </w:r>
      <w:r>
        <w:rPr>
          <w:color w:val="auto"/>
          <w:sz w:val="24"/>
        </w:rPr>
        <w:t>开采方式</w:t>
      </w:r>
      <w:r>
        <w:rPr>
          <w:rFonts w:hint="eastAsia"/>
          <w:color w:val="auto"/>
          <w:sz w:val="24"/>
        </w:rPr>
        <w:t>（</w:t>
      </w:r>
      <w:r>
        <w:rPr>
          <w:color w:val="auto"/>
          <w:sz w:val="24"/>
        </w:rPr>
        <w:t>地下</w:t>
      </w:r>
      <w:r>
        <w:rPr>
          <w:rFonts w:hint="eastAsia"/>
          <w:color w:val="auto"/>
          <w:sz w:val="24"/>
        </w:rPr>
        <w:t>）</w:t>
      </w:r>
      <w:r>
        <w:rPr>
          <w:color w:val="auto"/>
          <w:sz w:val="24"/>
        </w:rPr>
        <w:t>确定</w:t>
      </w:r>
      <w:r>
        <w:rPr>
          <w:rFonts w:hint="eastAsia"/>
          <w:color w:val="auto"/>
          <w:sz w:val="24"/>
        </w:rPr>
        <w:t>仍采用</w:t>
      </w:r>
      <w:r>
        <w:rPr>
          <w:color w:val="auto"/>
          <w:sz w:val="24"/>
        </w:rPr>
        <w:t>地下</w:t>
      </w:r>
      <w:r>
        <w:rPr>
          <w:rFonts w:hint="eastAsia"/>
          <w:color w:val="auto"/>
          <w:sz w:val="24"/>
        </w:rPr>
        <w:t>房柱采矿法，采矿工艺见图</w:t>
      </w:r>
      <w:r>
        <w:rPr>
          <w:rFonts w:hint="eastAsia"/>
          <w:color w:val="auto"/>
          <w:sz w:val="24"/>
          <w:lang w:val="en-US" w:eastAsia="zh-CN"/>
        </w:rPr>
        <w:t>2.3-1</w:t>
      </w:r>
      <w:r>
        <w:rPr>
          <w:rFonts w:hint="eastAsia"/>
          <w:color w:val="auto"/>
          <w:sz w:val="24"/>
        </w:rPr>
        <w:t>。</w:t>
      </w:r>
    </w:p>
    <w:p>
      <w:pPr>
        <w:pStyle w:val="2"/>
        <w:jc w:val="center"/>
        <w:rPr>
          <w:rFonts w:hint="eastAsia"/>
          <w:b/>
          <w:bCs/>
          <w:color w:val="auto"/>
          <w:sz w:val="21"/>
          <w:szCs w:val="21"/>
          <w:lang w:eastAsia="zh-CN"/>
        </w:rPr>
      </w:pPr>
      <w:r>
        <w:rPr>
          <w:rFonts w:hint="eastAsia"/>
          <w:b/>
          <w:bCs/>
          <w:color w:val="auto"/>
          <w:sz w:val="21"/>
          <w:szCs w:val="21"/>
          <w:lang w:eastAsia="zh-CN"/>
        </w:rPr>
        <w:drawing>
          <wp:inline distT="0" distB="0" distL="114300" distR="114300">
            <wp:extent cx="4914900" cy="2328545"/>
            <wp:effectExtent l="0" t="0" r="0" b="14605"/>
            <wp:docPr id="94" name="图片 94" descr="流程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流程图1"/>
                    <pic:cNvPicPr>
                      <a:picLocks noChangeAspect="1"/>
                    </pic:cNvPicPr>
                  </pic:nvPicPr>
                  <pic:blipFill>
                    <a:blip r:embed="rId15"/>
                    <a:srcRect b="5228"/>
                    <a:stretch>
                      <a:fillRect/>
                    </a:stretch>
                  </pic:blipFill>
                  <pic:spPr>
                    <a:xfrm>
                      <a:off x="0" y="0"/>
                      <a:ext cx="4914900" cy="2328545"/>
                    </a:xfrm>
                    <a:prstGeom prst="rect">
                      <a:avLst/>
                    </a:prstGeom>
                  </pic:spPr>
                </pic:pic>
              </a:graphicData>
            </a:graphic>
          </wp:inline>
        </w:drawing>
      </w:r>
    </w:p>
    <w:p>
      <w:pPr>
        <w:pStyle w:val="2"/>
        <w:jc w:val="center"/>
        <w:rPr>
          <w:rFonts w:hint="eastAsia" w:eastAsia="宋体"/>
          <w:color w:val="auto"/>
          <w:sz w:val="24"/>
          <w:lang w:eastAsia="zh-CN"/>
        </w:rPr>
      </w:pPr>
      <w:r>
        <w:rPr>
          <w:rFonts w:hint="eastAsia"/>
          <w:b/>
          <w:bCs/>
          <w:color w:val="auto"/>
          <w:sz w:val="21"/>
          <w:szCs w:val="21"/>
          <w:lang w:eastAsia="zh-CN"/>
        </w:rPr>
        <w:t>图</w:t>
      </w:r>
      <w:r>
        <w:rPr>
          <w:rFonts w:hint="eastAsia"/>
          <w:b/>
          <w:bCs/>
          <w:color w:val="auto"/>
          <w:sz w:val="21"/>
          <w:szCs w:val="21"/>
          <w:lang w:val="en-US" w:eastAsia="zh-CN"/>
        </w:rPr>
        <w:t xml:space="preserve">2.3-1 </w:t>
      </w:r>
      <w:r>
        <w:rPr>
          <w:rFonts w:hint="eastAsia"/>
          <w:b/>
          <w:bCs/>
          <w:color w:val="auto"/>
          <w:sz w:val="21"/>
          <w:szCs w:val="21"/>
        </w:rPr>
        <w:t>采矿工艺流程图</w:t>
      </w:r>
    </w:p>
    <w:p>
      <w:pPr>
        <w:pStyle w:val="5"/>
        <w:tabs>
          <w:tab w:val="left" w:pos="1620"/>
        </w:tabs>
        <w:spacing w:line="360" w:lineRule="auto"/>
        <w:rPr>
          <w:color w:val="auto"/>
          <w:sz w:val="28"/>
          <w:szCs w:val="32"/>
        </w:rPr>
      </w:pPr>
      <w:r>
        <w:rPr>
          <w:rFonts w:hint="eastAsia"/>
          <w:color w:val="auto"/>
          <w:sz w:val="28"/>
          <w:szCs w:val="32"/>
          <w:lang w:val="en-US" w:eastAsia="zh-CN"/>
        </w:rPr>
        <w:t>2</w:t>
      </w:r>
      <w:r>
        <w:rPr>
          <w:color w:val="auto"/>
          <w:sz w:val="28"/>
          <w:szCs w:val="32"/>
        </w:rPr>
        <w:t>.</w:t>
      </w:r>
      <w:r>
        <w:rPr>
          <w:rFonts w:hint="eastAsia"/>
          <w:color w:val="auto"/>
          <w:sz w:val="28"/>
          <w:szCs w:val="32"/>
          <w:lang w:val="en-US" w:eastAsia="zh-CN"/>
        </w:rPr>
        <w:t>3.4</w:t>
      </w:r>
      <w:r>
        <w:rPr>
          <w:rFonts w:hint="eastAsia"/>
          <w:color w:val="auto"/>
          <w:sz w:val="28"/>
          <w:szCs w:val="32"/>
        </w:rPr>
        <w:t>开采顺序及首采地段</w:t>
      </w:r>
    </w:p>
    <w:p>
      <w:pPr>
        <w:spacing w:line="360" w:lineRule="auto"/>
        <w:ind w:firstLine="560"/>
        <w:rPr>
          <w:color w:val="auto"/>
          <w:sz w:val="24"/>
        </w:rPr>
      </w:pPr>
      <w:r>
        <w:rPr>
          <w:rFonts w:hint="eastAsia"/>
          <w:color w:val="auto"/>
          <w:sz w:val="24"/>
        </w:rPr>
        <w:t>1.开采顺序</w:t>
      </w:r>
    </w:p>
    <w:p>
      <w:pPr>
        <w:spacing w:line="360" w:lineRule="auto"/>
        <w:ind w:firstLine="560"/>
        <w:rPr>
          <w:rFonts w:hint="eastAsia"/>
          <w:color w:val="auto"/>
          <w:sz w:val="24"/>
        </w:rPr>
      </w:pPr>
      <w:r>
        <w:rPr>
          <w:rFonts w:hint="eastAsia"/>
          <w:color w:val="auto"/>
          <w:sz w:val="24"/>
        </w:rPr>
        <w:t>姚街铅锌矿设计采用为自上而下的开采顺序。</w:t>
      </w:r>
    </w:p>
    <w:p>
      <w:pPr>
        <w:spacing w:line="360" w:lineRule="auto"/>
        <w:ind w:firstLine="560"/>
        <w:rPr>
          <w:rFonts w:hint="eastAsia"/>
          <w:color w:val="auto"/>
          <w:sz w:val="24"/>
        </w:rPr>
      </w:pPr>
      <w:r>
        <w:rPr>
          <w:rFonts w:hint="eastAsia"/>
          <w:color w:val="auto"/>
          <w:sz w:val="24"/>
        </w:rPr>
        <w:t>2.首采地段</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auto"/>
          <w:sz w:val="24"/>
        </w:rPr>
      </w:pPr>
      <w:r>
        <w:rPr>
          <w:rFonts w:hint="eastAsia"/>
          <w:color w:val="auto"/>
          <w:sz w:val="24"/>
        </w:rPr>
        <w:t>Ⅰ号矿体：＋115米中段设计采用自南向北的前进式开采顺序；</w:t>
      </w:r>
    </w:p>
    <w:p>
      <w:pPr>
        <w:spacing w:line="360" w:lineRule="auto"/>
        <w:ind w:left="0" w:leftChars="0" w:firstLine="480" w:firstLineChars="200"/>
        <w:rPr>
          <w:rFonts w:hint="eastAsia"/>
          <w:color w:val="auto"/>
        </w:rPr>
      </w:pPr>
      <w:r>
        <w:rPr>
          <w:rFonts w:hint="eastAsia"/>
          <w:color w:val="auto"/>
        </w:rPr>
        <w:t>Ⅳ号矿体：先采＋71米中段矿体，后采＋55米中段矿体；从有利于作业地点通风条件考虑，采用从两翼向中间（主斜井）的后退式开采顺序，首采地段为＋71米中段北翼和南翼采场。</w:t>
      </w:r>
      <w:bookmarkStart w:id="180" w:name="_Toc3592"/>
      <w:bookmarkStart w:id="181" w:name="_Toc25600"/>
    </w:p>
    <w:p>
      <w:pPr>
        <w:pStyle w:val="5"/>
        <w:spacing w:line="360" w:lineRule="auto"/>
        <w:rPr>
          <w:color w:val="auto"/>
        </w:rPr>
      </w:pPr>
      <w:r>
        <w:rPr>
          <w:rFonts w:hint="eastAsia"/>
          <w:color w:val="auto"/>
          <w:lang w:val="en-US" w:eastAsia="zh-CN"/>
        </w:rPr>
        <w:t>2</w:t>
      </w:r>
      <w:r>
        <w:rPr>
          <w:color w:val="auto"/>
        </w:rPr>
        <w:t>.</w:t>
      </w:r>
      <w:r>
        <w:rPr>
          <w:rFonts w:hint="eastAsia"/>
          <w:color w:val="auto"/>
        </w:rPr>
        <w:t>3</w:t>
      </w:r>
      <w:r>
        <w:rPr>
          <w:color w:val="auto"/>
        </w:rPr>
        <w:t>.</w:t>
      </w:r>
      <w:r>
        <w:rPr>
          <w:rFonts w:hint="eastAsia"/>
          <w:color w:val="auto"/>
          <w:lang w:val="en-US" w:eastAsia="zh-CN"/>
        </w:rPr>
        <w:t>5</w:t>
      </w:r>
      <w:r>
        <w:rPr>
          <w:color w:val="auto"/>
        </w:rPr>
        <w:t>服务年限</w:t>
      </w:r>
    </w:p>
    <w:p>
      <w:pPr>
        <w:spacing w:line="360" w:lineRule="auto"/>
        <w:ind w:firstLine="480" w:firstLineChars="200"/>
        <w:rPr>
          <w:rFonts w:hint="eastAsia"/>
          <w:color w:val="auto"/>
          <w:sz w:val="24"/>
        </w:rPr>
      </w:pPr>
      <w:r>
        <w:rPr>
          <w:rFonts w:hint="eastAsia"/>
          <w:color w:val="auto"/>
          <w:sz w:val="24"/>
        </w:rPr>
        <w:t>由表3</w:t>
      </w:r>
      <w:r>
        <w:rPr>
          <w:rFonts w:hint="eastAsia"/>
          <w:color w:val="auto"/>
          <w:sz w:val="24"/>
          <w:lang w:val="en-US" w:eastAsia="zh-CN"/>
        </w:rPr>
        <w:t>.3-1</w:t>
      </w:r>
      <w:r>
        <w:rPr>
          <w:rFonts w:hint="eastAsia"/>
          <w:color w:val="auto"/>
          <w:sz w:val="24"/>
        </w:rPr>
        <w:t>可知，姚街铅锌矿保有资源储量为</w:t>
      </w:r>
      <w:r>
        <w:rPr>
          <w:rFonts w:hint="eastAsia" w:hAnsi="宋体"/>
          <w:color w:val="auto"/>
          <w:sz w:val="24"/>
        </w:rPr>
        <w:t>6.8287万吨</w:t>
      </w:r>
      <w:r>
        <w:rPr>
          <w:rFonts w:hint="eastAsia"/>
          <w:color w:val="auto"/>
          <w:sz w:val="24"/>
        </w:rPr>
        <w:t>，利用资源储量为6.1147万吨，矿产资源利用率为89.54.%；回采率为79.5%，平化率为20%，矿山生产规模2.0万吨/年</w:t>
      </w:r>
      <w:r>
        <w:rPr>
          <w:rFonts w:hint="eastAsia" w:ascii="宋体" w:hAnsi="宋体" w:eastAsia="宋体" w:cs="宋体"/>
          <w:color w:val="auto"/>
          <w:sz w:val="24"/>
          <w:lang w:val="en-US" w:eastAsia="zh-CN"/>
        </w:rPr>
        <w:t>,</w:t>
      </w:r>
      <w:r>
        <w:rPr>
          <w:rFonts w:hint="eastAsia"/>
          <w:color w:val="auto"/>
          <w:sz w:val="24"/>
          <w:lang w:val="en-US" w:eastAsia="zh-CN"/>
        </w:rPr>
        <w:t>以此</w:t>
      </w:r>
      <w:r>
        <w:rPr>
          <w:rFonts w:hint="eastAsia"/>
          <w:color w:val="auto"/>
          <w:sz w:val="24"/>
        </w:rPr>
        <w:t>计算，矿山服务年限为3.0年（不含基建期9个月），根据</w:t>
      </w:r>
      <w:r>
        <w:rPr>
          <w:color w:val="auto"/>
          <w:sz w:val="24"/>
        </w:rPr>
        <w:t>《安徽省铜铅锌矿采选行业准入条件》</w:t>
      </w:r>
      <w:r>
        <w:rPr>
          <w:rFonts w:hint="eastAsia"/>
          <w:color w:val="auto"/>
          <w:sz w:val="24"/>
        </w:rPr>
        <w:t>中规定“</w:t>
      </w:r>
      <w:r>
        <w:rPr>
          <w:color w:val="auto"/>
          <w:sz w:val="24"/>
        </w:rPr>
        <w:t>矿山开采回采率、矿石贫化率和选矿回收率指标不得低于批准的设计标准。</w:t>
      </w:r>
      <w:r>
        <w:rPr>
          <w:rFonts w:hint="eastAsia"/>
          <w:color w:val="auto"/>
          <w:sz w:val="24"/>
        </w:rPr>
        <w:t>”。该项目已经通过安徽省经济和信息委员会皖经信非煤[2010]209号核准，说明设计回采率为79.5%和平化率为20%，已经得到主管审批该项目设计文件部门的批准。</w:t>
      </w:r>
    </w:p>
    <w:p>
      <w:pPr>
        <w:pStyle w:val="5"/>
        <w:spacing w:line="360" w:lineRule="auto"/>
        <w:rPr>
          <w:rFonts w:hint="eastAsia"/>
          <w:color w:val="auto"/>
        </w:rPr>
      </w:pPr>
      <w:bookmarkStart w:id="182" w:name="_Toc296763769"/>
      <w:r>
        <w:rPr>
          <w:rFonts w:hint="eastAsia"/>
          <w:color w:val="auto"/>
          <w:lang w:val="en-US" w:eastAsia="zh-CN"/>
        </w:rPr>
        <w:t>2</w:t>
      </w:r>
      <w:r>
        <w:rPr>
          <w:rFonts w:hint="eastAsia"/>
          <w:color w:val="auto"/>
        </w:rPr>
        <w:t>.</w:t>
      </w:r>
      <w:r>
        <w:rPr>
          <w:rFonts w:hint="eastAsia"/>
          <w:color w:val="auto"/>
          <w:lang w:val="en-US" w:eastAsia="zh-CN"/>
        </w:rPr>
        <w:t>3.6</w:t>
      </w:r>
      <w:r>
        <w:rPr>
          <w:rFonts w:hint="eastAsia"/>
          <w:color w:val="auto"/>
        </w:rPr>
        <w:t>矿床开拓</w:t>
      </w:r>
      <w:bookmarkEnd w:id="182"/>
    </w:p>
    <w:p>
      <w:pPr>
        <w:spacing w:line="360" w:lineRule="auto"/>
        <w:ind w:firstLine="560"/>
        <w:rPr>
          <w:rFonts w:hint="eastAsia"/>
          <w:color w:val="auto"/>
          <w:sz w:val="24"/>
        </w:rPr>
      </w:pPr>
      <w:r>
        <w:rPr>
          <w:rFonts w:hint="eastAsia"/>
          <w:color w:val="auto"/>
          <w:sz w:val="24"/>
        </w:rPr>
        <w:t>本</w:t>
      </w:r>
      <w:r>
        <w:rPr>
          <w:color w:val="auto"/>
          <w:sz w:val="24"/>
        </w:rPr>
        <w:t>矿区为山坡地形，矿体为缓倾斜薄矿体。矿体产状要素：倾角15°～26</w:t>
      </w:r>
      <w:r>
        <w:rPr>
          <w:rFonts w:hint="eastAsia"/>
          <w:color w:val="auto"/>
          <w:sz w:val="24"/>
        </w:rPr>
        <w:t>°</w:t>
      </w:r>
      <w:r>
        <w:rPr>
          <w:color w:val="auto"/>
          <w:sz w:val="24"/>
        </w:rPr>
        <w:t>，厚度0.8～5米；矿体埋藏较浅，</w:t>
      </w:r>
      <w:r>
        <w:rPr>
          <w:rFonts w:hint="eastAsia"/>
          <w:color w:val="auto"/>
          <w:sz w:val="24"/>
        </w:rPr>
        <w:t>矿权范围内的矿体</w:t>
      </w:r>
      <w:r>
        <w:rPr>
          <w:color w:val="auto"/>
          <w:sz w:val="24"/>
        </w:rPr>
        <w:t>赋存标高＋5</w:t>
      </w:r>
      <w:r>
        <w:rPr>
          <w:rFonts w:hint="eastAsia"/>
          <w:color w:val="auto"/>
          <w:sz w:val="24"/>
        </w:rPr>
        <w:t>0</w:t>
      </w:r>
      <w:r>
        <w:rPr>
          <w:color w:val="auto"/>
          <w:sz w:val="24"/>
        </w:rPr>
        <w:t>～＋</w:t>
      </w:r>
      <w:r>
        <w:rPr>
          <w:rFonts w:hint="eastAsia"/>
          <w:color w:val="auto"/>
          <w:sz w:val="24"/>
        </w:rPr>
        <w:t>160</w:t>
      </w:r>
      <w:r>
        <w:rPr>
          <w:color w:val="auto"/>
          <w:sz w:val="24"/>
        </w:rPr>
        <w:t>米。其中</w:t>
      </w:r>
      <w:r>
        <w:rPr>
          <w:rFonts w:hint="eastAsia" w:ascii="宋体" w:hAnsi="宋体" w:cs="宋体"/>
          <w:color w:val="auto"/>
          <w:sz w:val="24"/>
        </w:rPr>
        <w:t>Ⅰ</w:t>
      </w:r>
      <w:r>
        <w:rPr>
          <w:color w:val="auto"/>
          <w:sz w:val="24"/>
        </w:rPr>
        <w:t>号矿体</w:t>
      </w:r>
      <w:r>
        <w:rPr>
          <w:rFonts w:hint="eastAsia"/>
          <w:color w:val="auto"/>
          <w:sz w:val="24"/>
        </w:rPr>
        <w:t>、Ⅱ号矿体和Ⅲ号矿体</w:t>
      </w:r>
      <w:r>
        <w:rPr>
          <w:color w:val="auto"/>
          <w:sz w:val="24"/>
        </w:rPr>
        <w:t>地表有露头，</w:t>
      </w:r>
      <w:r>
        <w:rPr>
          <w:rFonts w:hint="eastAsia" w:ascii="宋体" w:hAnsi="宋体" w:cs="宋体"/>
          <w:color w:val="auto"/>
          <w:sz w:val="24"/>
        </w:rPr>
        <w:t>Ⅳ</w:t>
      </w:r>
      <w:r>
        <w:rPr>
          <w:color w:val="auto"/>
          <w:sz w:val="24"/>
        </w:rPr>
        <w:t>号矿体为盲矿体。</w:t>
      </w:r>
      <w:r>
        <w:rPr>
          <w:rFonts w:hint="eastAsia"/>
          <w:color w:val="auto"/>
          <w:sz w:val="24"/>
        </w:rPr>
        <w:t>采用斜井开拓方案。</w:t>
      </w:r>
      <w:r>
        <w:rPr>
          <w:rFonts w:hint="eastAsia" w:ascii="宋体" w:hAnsi="宋体"/>
          <w:color w:val="auto"/>
          <w:sz w:val="24"/>
        </w:rPr>
        <w:t>姚街铅锌矿开拓工程掘进工作量</w:t>
      </w:r>
      <w:r>
        <w:rPr>
          <w:rFonts w:ascii="宋体" w:hAnsi="宋体"/>
          <w:color w:val="auto"/>
          <w:sz w:val="24"/>
        </w:rPr>
        <w:t>表</w:t>
      </w:r>
      <w:r>
        <w:rPr>
          <w:rFonts w:hint="eastAsia" w:ascii="宋体" w:hAnsi="宋体"/>
          <w:color w:val="auto"/>
          <w:sz w:val="24"/>
        </w:rPr>
        <w:t>见表</w:t>
      </w:r>
      <w:r>
        <w:rPr>
          <w:rFonts w:hint="default" w:ascii="Times New Roman" w:hAnsi="Times New Roman" w:cs="Times New Roman"/>
          <w:color w:val="auto"/>
          <w:sz w:val="24"/>
          <w:lang w:val="en-US" w:eastAsia="zh-CN"/>
        </w:rPr>
        <w:t>2.3-3</w:t>
      </w:r>
      <w:r>
        <w:rPr>
          <w:rFonts w:hint="default" w:ascii="Times New Roman" w:hAnsi="Times New Roman" w:cs="Times New Roman"/>
          <w:color w:val="auto"/>
          <w:sz w:val="24"/>
        </w:rPr>
        <w:t>。</w:t>
      </w:r>
    </w:p>
    <w:p>
      <w:pPr>
        <w:spacing w:line="360" w:lineRule="auto"/>
        <w:ind w:firstLine="529"/>
        <w:jc w:val="center"/>
        <w:rPr>
          <w:rFonts w:hint="eastAsia" w:ascii="宋体" w:hAnsi="宋体"/>
          <w:b/>
          <w:color w:val="auto"/>
          <w:sz w:val="24"/>
        </w:rPr>
      </w:pPr>
      <w:r>
        <w:rPr>
          <w:rFonts w:hint="eastAsia" w:hAnsi="宋体"/>
          <w:b/>
          <w:color w:val="auto"/>
          <w:sz w:val="21"/>
          <w:szCs w:val="21"/>
        </w:rPr>
        <w:t>表</w:t>
      </w:r>
      <w:r>
        <w:rPr>
          <w:rFonts w:hint="eastAsia" w:hAnsi="宋体"/>
          <w:b/>
          <w:color w:val="auto"/>
          <w:sz w:val="21"/>
          <w:szCs w:val="21"/>
          <w:lang w:val="en-US" w:eastAsia="zh-CN"/>
        </w:rPr>
        <w:t xml:space="preserve">2.3-3 </w:t>
      </w:r>
      <w:r>
        <w:rPr>
          <w:rFonts w:hint="eastAsia" w:ascii="宋体" w:hAnsi="宋体"/>
          <w:b/>
          <w:color w:val="auto"/>
          <w:sz w:val="21"/>
          <w:szCs w:val="21"/>
        </w:rPr>
        <w:t>姚街铅锌矿开拓工程掘进工作量</w:t>
      </w:r>
      <w:r>
        <w:rPr>
          <w:rFonts w:ascii="宋体" w:hAnsi="宋体"/>
          <w:b/>
          <w:color w:val="auto"/>
          <w:sz w:val="21"/>
          <w:szCs w:val="21"/>
        </w:rPr>
        <w:t>表</w:t>
      </w:r>
    </w:p>
    <w:tbl>
      <w:tblPr>
        <w:tblStyle w:val="16"/>
        <w:tblW w:w="8953" w:type="dxa"/>
        <w:jc w:val="center"/>
        <w:tblInd w:w="259"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0"/>
        <w:gridCol w:w="2310"/>
        <w:gridCol w:w="1511"/>
        <w:gridCol w:w="1275"/>
        <w:gridCol w:w="1392"/>
        <w:gridCol w:w="147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990"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310"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1511"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规格</w:t>
            </w:r>
            <w:r>
              <w:rPr>
                <w:rFonts w:hint="eastAsia"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宽×高</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（m）</w:t>
            </w:r>
          </w:p>
        </w:tc>
        <w:tc>
          <w:tcPr>
            <w:tcW w:w="1275"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掘进长度(m)</w:t>
            </w:r>
          </w:p>
        </w:tc>
        <w:tc>
          <w:tcPr>
            <w:tcW w:w="1392"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工程量</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c>
          <w:tcPr>
            <w:tcW w:w="1475"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备注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990"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2310"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511"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27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p>
        </w:tc>
        <w:tc>
          <w:tcPr>
            <w:tcW w:w="1392"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p>
        </w:tc>
        <w:tc>
          <w:tcPr>
            <w:tcW w:w="1475" w:type="dxa"/>
            <w:vMerge w:val="continue"/>
            <w:tcBorders>
              <w:tl2br w:val="nil"/>
              <w:tr2bl w:val="nil"/>
            </w:tcBorders>
            <w:vAlign w:val="top"/>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1号斜井+115～+90m</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2×1.8</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432</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α=12°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主斜井延深</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2.3×2</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178</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+70.6～+55m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Ⅰ号矿体</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376</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+115m沿脉等</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280</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地表通风天井</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2×1.6</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96</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Ⅱ号矿体</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513</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2号斜井</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2.3×2</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α=12°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+145m斜井调车场</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3.0×2.5</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4-3</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+145m沿脉</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2.2×2.0</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308</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4-4</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+145m排水站 </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Ⅲ号矿体</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182</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748</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南平硐</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2.2×2.0</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52</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228</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5-2</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沿脉</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118</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472</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北平硐</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48</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Ⅳ号矿体</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425</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1886</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6-1</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+55m斜井调车场</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3×2.5</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+55m沿脉</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2.2×2</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1320</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6-3</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+75m上山（2个）</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320</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α=15～20°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水泵房</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2.8×2.5</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水仓</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99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2310"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  计</w:t>
            </w:r>
          </w:p>
        </w:tc>
        <w:tc>
          <w:tcPr>
            <w:tcW w:w="1511"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c>
          <w:tcPr>
            <w:tcW w:w="12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986</w:t>
            </w:r>
          </w:p>
        </w:tc>
        <w:tc>
          <w:tcPr>
            <w:tcW w:w="1392"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4133</w:t>
            </w:r>
          </w:p>
        </w:tc>
        <w:tc>
          <w:tcPr>
            <w:tcW w:w="1475" w:type="dxa"/>
            <w:tcBorders>
              <w:tl2br w:val="nil"/>
              <w:tr2bl w:val="nil"/>
            </w:tcBorders>
            <w:vAlign w:val="top"/>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p>
        </w:tc>
      </w:tr>
    </w:tbl>
    <w:p>
      <w:pPr>
        <w:pStyle w:val="5"/>
        <w:rPr>
          <w:rFonts w:hint="eastAsia"/>
          <w:color w:val="auto"/>
        </w:rPr>
      </w:pPr>
      <w:bookmarkStart w:id="183" w:name="_Toc296763770"/>
      <w:r>
        <w:rPr>
          <w:rFonts w:hint="eastAsia"/>
          <w:color w:val="auto"/>
          <w:lang w:val="en-US" w:eastAsia="zh-CN"/>
        </w:rPr>
        <w:t>2</w:t>
      </w:r>
      <w:r>
        <w:rPr>
          <w:rFonts w:hint="eastAsia"/>
          <w:color w:val="auto"/>
        </w:rPr>
        <w:t>.</w:t>
      </w:r>
      <w:r>
        <w:rPr>
          <w:rFonts w:hint="eastAsia"/>
          <w:color w:val="auto"/>
          <w:lang w:val="en-US" w:eastAsia="zh-CN"/>
        </w:rPr>
        <w:t>3.7</w:t>
      </w:r>
      <w:r>
        <w:rPr>
          <w:rFonts w:hint="eastAsia"/>
          <w:color w:val="auto"/>
        </w:rPr>
        <w:t>产品去向</w:t>
      </w:r>
      <w:bookmarkEnd w:id="183"/>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本项目开采的原矿石不进行加工洗选，送东北约500m的池州市世源矿业发展有限公司选矿厂（设计洗选能力6万t/a）集中洗选。</w:t>
      </w:r>
    </w:p>
    <w:p>
      <w:pPr>
        <w:spacing w:line="360" w:lineRule="auto"/>
        <w:ind w:firstLine="480" w:firstLineChars="200"/>
        <w:rPr>
          <w:rFonts w:hint="default" w:ascii="Times New Roman" w:hAnsi="Times New Roman" w:cs="Times New Roman"/>
          <w:b/>
          <w:color w:val="auto"/>
          <w:sz w:val="24"/>
        </w:rPr>
      </w:pPr>
      <w:r>
        <w:rPr>
          <w:rFonts w:hint="default" w:ascii="Times New Roman" w:hAnsi="Times New Roman" w:cs="Times New Roman"/>
          <w:color w:val="auto"/>
          <w:sz w:val="24"/>
        </w:rPr>
        <w:t>该选矿厂环境影响报告由安徽省工业工程设计院编制，池州市环保局贵池区分局于2008年11月以贵环字</w:t>
      </w:r>
      <w:r>
        <w:rPr>
          <w:rFonts w:hint="eastAsia" w:cs="Times New Roman"/>
          <w:color w:val="auto"/>
          <w:sz w:val="24"/>
          <w:lang w:eastAsia="zh-CN"/>
        </w:rPr>
        <w:t>[</w:t>
      </w:r>
      <w:r>
        <w:rPr>
          <w:rFonts w:hint="default" w:ascii="Times New Roman" w:hAnsi="Times New Roman" w:cs="Times New Roman"/>
          <w:color w:val="auto"/>
          <w:sz w:val="24"/>
        </w:rPr>
        <w:t>2008</w:t>
      </w:r>
      <w:r>
        <w:rPr>
          <w:rFonts w:hint="eastAsia" w:cs="Times New Roman"/>
          <w:color w:val="auto"/>
          <w:sz w:val="24"/>
          <w:lang w:eastAsia="zh-CN"/>
        </w:rPr>
        <w:t>]</w:t>
      </w:r>
      <w:r>
        <w:rPr>
          <w:rFonts w:hint="default" w:ascii="Times New Roman" w:hAnsi="Times New Roman" w:cs="Times New Roman"/>
          <w:color w:val="auto"/>
          <w:sz w:val="24"/>
        </w:rPr>
        <w:t>105号文对环评报告做出了批复，2011年5月11日通过环保验收，相关材料见附件。</w:t>
      </w:r>
    </w:p>
    <w:p>
      <w:pPr>
        <w:spacing w:line="360" w:lineRule="auto"/>
        <w:ind w:firstLine="480" w:firstLineChars="200"/>
        <w:rPr>
          <w:rFonts w:hint="default"/>
          <w:color w:val="auto"/>
        </w:rPr>
      </w:pPr>
      <w:r>
        <w:rPr>
          <w:rFonts w:hint="default" w:ascii="Times New Roman" w:hAnsi="Times New Roman" w:cs="Times New Roman"/>
          <w:color w:val="auto"/>
          <w:sz w:val="24"/>
        </w:rPr>
        <w:t>根据调查，该选矿厂原主要服务对象即为本次整合的2座矿山，其尾矿库设计存储量为10万m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，目前尚有库容9.5万m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。因此选厂规模及尾矿库均可满足本矿山的开采量（2万t/a）需要。</w:t>
      </w:r>
    </w:p>
    <w:p>
      <w:pPr>
        <w:pStyle w:val="4"/>
        <w:spacing w:line="360" w:lineRule="auto"/>
        <w:rPr>
          <w:rFonts w:hint="default" w:ascii="Times New Roman" w:hAnsi="Times New Roman" w:cs="Times New Roman"/>
          <w:color w:val="auto"/>
        </w:rPr>
      </w:pPr>
      <w:bookmarkStart w:id="184" w:name="_Toc18497"/>
      <w:bookmarkStart w:id="185" w:name="_Toc24019"/>
      <w:r>
        <w:rPr>
          <w:rFonts w:hint="eastAsia" w:cs="Times New Roman"/>
          <w:color w:val="auto"/>
          <w:lang w:val="en-US" w:eastAsia="zh-CN"/>
        </w:rPr>
        <w:t>2</w:t>
      </w:r>
      <w:r>
        <w:rPr>
          <w:rFonts w:hint="default" w:ascii="Times New Roman" w:hAnsi="Times New Roman" w:cs="Times New Roman"/>
          <w:color w:val="auto"/>
          <w:lang w:val="en-US" w:eastAsia="zh-CN"/>
        </w:rPr>
        <w:t xml:space="preserve">.4 </w:t>
      </w:r>
      <w:bookmarkEnd w:id="180"/>
      <w:bookmarkEnd w:id="181"/>
      <w:bookmarkEnd w:id="184"/>
      <w:r>
        <w:rPr>
          <w:rFonts w:hint="default" w:ascii="Times New Roman" w:hAnsi="Times New Roman" w:cs="Times New Roman"/>
          <w:color w:val="auto"/>
        </w:rPr>
        <w:t>公用辅助工程</w:t>
      </w:r>
      <w:bookmarkEnd w:id="185"/>
    </w:p>
    <w:p>
      <w:pPr>
        <w:pStyle w:val="5"/>
        <w:rPr>
          <w:rFonts w:hint="default" w:ascii="Times New Roman" w:hAnsi="Times New Roman" w:cs="Times New Roman"/>
          <w:color w:val="auto"/>
        </w:rPr>
      </w:pPr>
      <w:r>
        <w:rPr>
          <w:rFonts w:hint="eastAsia"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4</w:t>
      </w:r>
      <w:r>
        <w:rPr>
          <w:rFonts w:hint="default" w:ascii="Times New Roman" w:hAnsi="Times New Roman" w:cs="Times New Roman"/>
          <w:color w:val="auto"/>
        </w:rPr>
        <w:t>.1矿岩运输和提升</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中段运输：各中段的矿（废）石运输选用人推矿车运输至斜井车场。平巷铺设15kg/m钢轨，1/4道岔，木轨枕，轨距600mm。</w:t>
      </w:r>
    </w:p>
    <w:p>
      <w:pPr>
        <w:spacing w:line="360" w:lineRule="auto"/>
        <w:ind w:firstLine="540" w:firstLineChars="225"/>
        <w:rPr>
          <w:rFonts w:hint="default" w:ascii="Times New Roman" w:hAnsi="Times New Roman" w:cs="Times New Roman"/>
          <w:color w:val="auto"/>
          <w:sz w:val="24"/>
        </w:rPr>
      </w:pPr>
      <w:r>
        <w:rPr>
          <w:rFonts w:hint="default" w:ascii="Times New Roman" w:hAnsi="Times New Roman" w:cs="Times New Roman"/>
          <w:color w:val="auto"/>
          <w:sz w:val="24"/>
        </w:rPr>
        <w:t>主斜井安装JT-0.8×0.6型提升机一台。该斜井用于提升矿石、废石、材料等，并兼作人行通道和进风井。</w:t>
      </w:r>
    </w:p>
    <w:p>
      <w:pPr>
        <w:pStyle w:val="5"/>
        <w:rPr>
          <w:rFonts w:hint="default" w:ascii="Times New Roman" w:hAnsi="Times New Roman" w:cs="Times New Roman"/>
          <w:color w:val="auto"/>
        </w:rPr>
      </w:pPr>
      <w:r>
        <w:rPr>
          <w:rFonts w:hint="eastAsia"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4</w:t>
      </w:r>
      <w:r>
        <w:rPr>
          <w:rFonts w:hint="default" w:ascii="Times New Roman" w:hAnsi="Times New Roman" w:cs="Times New Roman"/>
          <w:color w:val="auto"/>
        </w:rPr>
        <w:t>.2井下通风与压气系统</w:t>
      </w:r>
    </w:p>
    <w:p>
      <w:pPr>
        <w:spacing w:line="360" w:lineRule="auto"/>
        <w:ind w:firstLine="560"/>
        <w:rPr>
          <w:rFonts w:hint="default" w:ascii="Times New Roman" w:hAnsi="Times New Roman" w:cs="Times New Roman"/>
          <w:color w:val="auto"/>
          <w:sz w:val="24"/>
        </w:rPr>
      </w:pPr>
      <w:r>
        <w:rPr>
          <w:rFonts w:hint="default" w:ascii="Times New Roman" w:hAnsi="Times New Roman" w:cs="Times New Roman"/>
          <w:color w:val="auto"/>
          <w:sz w:val="24"/>
        </w:rPr>
        <w:t>姚街铅锌矿采用对角抽出式通风方式。其中，Ⅰ号矿体为人行通风井进风，1号斜井出风；Ⅳ号矿体为主斜井进风，1号斜井（北翼）和南翼通风斜井出风。</w:t>
      </w:r>
    </w:p>
    <w:p>
      <w:pPr>
        <w:spacing w:line="360" w:lineRule="auto"/>
        <w:ind w:firstLine="560"/>
        <w:rPr>
          <w:rFonts w:hint="default" w:ascii="Times New Roman" w:hAnsi="Times New Roman" w:cs="Times New Roman"/>
          <w:color w:val="auto"/>
          <w:sz w:val="24"/>
        </w:rPr>
      </w:pPr>
      <w:r>
        <w:rPr>
          <w:rFonts w:hint="default" w:ascii="Times New Roman" w:hAnsi="Times New Roman" w:cs="Times New Roman"/>
          <w:color w:val="auto"/>
          <w:sz w:val="24"/>
        </w:rPr>
        <w:t>采掘工作面布置主扇1台,型号为FBCZ－NO9.0/11，配用电机功率11KW。</w:t>
      </w:r>
    </w:p>
    <w:p>
      <w:pPr>
        <w:spacing w:line="360" w:lineRule="auto"/>
        <w:ind w:firstLine="560"/>
        <w:rPr>
          <w:rFonts w:hint="default" w:ascii="Times New Roman" w:hAnsi="Times New Roman" w:cs="Times New Roman"/>
          <w:color w:val="auto"/>
          <w:sz w:val="24"/>
        </w:rPr>
      </w:pPr>
      <w:r>
        <w:rPr>
          <w:rFonts w:hint="default" w:ascii="Times New Roman" w:hAnsi="Times New Roman" w:cs="Times New Roman"/>
          <w:color w:val="auto"/>
          <w:sz w:val="24"/>
        </w:rPr>
        <w:t>姚街铅锌矿用气设备主要是凿岩机，耗气量一般为2.6-3.0m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/min。矿山选用BY-6/7型空气压缩机1台，工作压力为0.7Mpa，排气量为6 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/min，电机功率为37kw。VY-3/7型移动式空气压缩机1台作为备用，工作压力为0.7Mpa，排气量为3 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/min，电机功率为18kw。空压站设置在地表主斜井井口处，供风管道采用无缝钢管。</w:t>
      </w:r>
    </w:p>
    <w:p>
      <w:pPr>
        <w:pStyle w:val="5"/>
        <w:rPr>
          <w:rFonts w:hint="default" w:ascii="Times New Roman" w:hAnsi="Times New Roman" w:cs="Times New Roman"/>
          <w:color w:val="auto"/>
        </w:rPr>
      </w:pPr>
      <w:r>
        <w:rPr>
          <w:rFonts w:hint="eastAsia"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4</w:t>
      </w:r>
      <w:r>
        <w:rPr>
          <w:rFonts w:hint="default" w:ascii="Times New Roman" w:hAnsi="Times New Roman" w:cs="Times New Roman"/>
          <w:color w:val="auto"/>
        </w:rPr>
        <w:t>.3供电</w:t>
      </w:r>
    </w:p>
    <w:p>
      <w:pPr>
        <w:spacing w:line="360" w:lineRule="auto"/>
        <w:ind w:firstLine="560"/>
        <w:rPr>
          <w:rFonts w:hint="default" w:ascii="Times New Roman" w:hAnsi="Times New Roman" w:cs="Times New Roman"/>
          <w:color w:val="auto"/>
          <w:sz w:val="24"/>
        </w:rPr>
      </w:pPr>
      <w:r>
        <w:rPr>
          <w:rFonts w:hint="default" w:ascii="Times New Roman" w:hAnsi="Times New Roman" w:cs="Times New Roman"/>
          <w:color w:val="auto"/>
          <w:sz w:val="24"/>
        </w:rPr>
        <w:t>姚街铅锌矿为一小型地下金属矿山，用电引自梅街镇10kV变电所，供电富裕。全矿主要设备安装容量约为282.5KW，正常工作容量约为165.5KW，地表用电负荷约98KW，井下用电负荷约67.5KW。另矿山须备一台50KW发电机组作为井下的备用电源。对井下一类负荷的排水系统采取双回路供电。</w:t>
      </w:r>
    </w:p>
    <w:p>
      <w:pPr>
        <w:pStyle w:val="5"/>
        <w:rPr>
          <w:rFonts w:hint="default" w:ascii="Times New Roman" w:hAnsi="Times New Roman" w:cs="Times New Roman"/>
          <w:color w:val="auto"/>
        </w:rPr>
      </w:pPr>
      <w:r>
        <w:rPr>
          <w:rFonts w:hint="eastAsia"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4</w:t>
      </w:r>
      <w:r>
        <w:rPr>
          <w:rFonts w:hint="default" w:ascii="Times New Roman" w:hAnsi="Times New Roman" w:cs="Times New Roman"/>
          <w:color w:val="auto"/>
        </w:rPr>
        <w:t>.4工业场地给排水</w:t>
      </w:r>
    </w:p>
    <w:p>
      <w:pPr>
        <w:spacing w:line="360" w:lineRule="auto"/>
        <w:ind w:firstLine="480"/>
        <w:rPr>
          <w:rFonts w:hint="default" w:ascii="Times New Roman" w:hAnsi="Times New Roman" w:cs="Times New Roman"/>
          <w:snapToGrid w:val="0"/>
          <w:color w:val="auto"/>
          <w:sz w:val="24"/>
        </w:rPr>
      </w:pPr>
      <w:r>
        <w:rPr>
          <w:rFonts w:hint="default" w:ascii="Times New Roman" w:hAnsi="Times New Roman" w:cs="Times New Roman"/>
          <w:color w:val="auto"/>
          <w:sz w:val="24"/>
        </w:rPr>
        <w:t>给水</w:t>
      </w:r>
      <w:r>
        <w:rPr>
          <w:rFonts w:hint="eastAsia" w:ascii="Times New Roman" w:hAnsi="Times New Roman" w:cs="Times New Roman"/>
          <w:color w:val="auto"/>
          <w:sz w:val="24"/>
          <w:lang w:eastAsia="zh-CN"/>
        </w:rPr>
        <w:t>：</w:t>
      </w:r>
      <w:r>
        <w:rPr>
          <w:rFonts w:hint="default" w:ascii="Times New Roman" w:hAnsi="Times New Roman" w:cs="Times New Roman"/>
          <w:snapToGrid w:val="0"/>
          <w:color w:val="auto"/>
          <w:sz w:val="24"/>
        </w:rPr>
        <w:t>生活用水由</w:t>
      </w:r>
      <w:r>
        <w:rPr>
          <w:rFonts w:hint="eastAsia" w:cs="Times New Roman"/>
          <w:snapToGrid w:val="0"/>
          <w:color w:val="auto"/>
          <w:sz w:val="24"/>
          <w:lang w:eastAsia="zh-CN"/>
        </w:rPr>
        <w:t>山泉水</w:t>
      </w:r>
      <w:r>
        <w:rPr>
          <w:rFonts w:hint="default" w:ascii="Times New Roman" w:hAnsi="Times New Roman" w:cs="Times New Roman"/>
          <w:snapToGrid w:val="0"/>
          <w:color w:val="auto"/>
          <w:sz w:val="24"/>
        </w:rPr>
        <w:t>供给，总用水量约1.5m</w:t>
      </w:r>
      <w:r>
        <w:rPr>
          <w:rFonts w:hint="default" w:ascii="Times New Roman" w:hAnsi="Times New Roman" w:cs="Times New Roman"/>
          <w:snapToGrid w:val="0"/>
          <w:color w:val="auto"/>
          <w:sz w:val="24"/>
          <w:vertAlign w:val="superscript"/>
        </w:rPr>
        <w:t>3</w:t>
      </w:r>
      <w:r>
        <w:rPr>
          <w:rFonts w:hint="default" w:ascii="Times New Roman" w:hAnsi="Times New Roman" w:cs="Times New Roman"/>
          <w:snapToGrid w:val="0"/>
          <w:color w:val="auto"/>
          <w:sz w:val="24"/>
        </w:rPr>
        <w:t>/d（用水定额按照50L/人.d计算，大部分工人为当地村民，不在矿山食宿）。生产用水主要利用处理后的矿井排水。项目生产总用水量为75m</w:t>
      </w:r>
      <w:r>
        <w:rPr>
          <w:rFonts w:hint="default" w:ascii="Times New Roman" w:hAnsi="Times New Roman" w:cs="Times New Roman"/>
          <w:snapToGrid w:val="0"/>
          <w:color w:val="auto"/>
          <w:sz w:val="24"/>
          <w:vertAlign w:val="superscript"/>
        </w:rPr>
        <w:t>3</w:t>
      </w:r>
      <w:r>
        <w:rPr>
          <w:rFonts w:hint="default" w:ascii="Times New Roman" w:hAnsi="Times New Roman" w:cs="Times New Roman"/>
          <w:snapToGrid w:val="0"/>
          <w:color w:val="auto"/>
          <w:sz w:val="24"/>
        </w:rPr>
        <w:t>/d（利用平硐排水）。</w:t>
      </w:r>
    </w:p>
    <w:p>
      <w:pPr>
        <w:spacing w:line="360" w:lineRule="auto"/>
        <w:ind w:firstLine="480"/>
        <w:rPr>
          <w:rFonts w:hint="eastAsia" w:ascii="Times New Roman" w:hAnsi="Times New Roman" w:eastAsia="宋体" w:cs="Times New Roman"/>
          <w:snapToGrid w:val="0"/>
          <w:color w:val="auto"/>
          <w:sz w:val="24"/>
          <w:lang w:eastAsia="zh-CN"/>
        </w:rPr>
      </w:pPr>
      <w:r>
        <w:rPr>
          <w:rFonts w:hint="default" w:ascii="Times New Roman" w:hAnsi="Times New Roman" w:cs="Times New Roman"/>
          <w:color w:val="auto"/>
          <w:sz w:val="24"/>
        </w:rPr>
        <w:t>排水</w:t>
      </w:r>
      <w:r>
        <w:rPr>
          <w:rFonts w:hint="eastAsia" w:ascii="Times New Roman" w:hAnsi="Times New Roman" w:cs="Times New Roman"/>
          <w:color w:val="auto"/>
          <w:sz w:val="24"/>
          <w:lang w:eastAsia="zh-CN"/>
        </w:rPr>
        <w:t>：</w:t>
      </w:r>
      <w:r>
        <w:rPr>
          <w:rFonts w:hint="default" w:ascii="Times New Roman" w:hAnsi="Times New Roman" w:cs="Times New Roman"/>
          <w:snapToGrid w:val="0"/>
          <w:color w:val="auto"/>
          <w:sz w:val="24"/>
        </w:rPr>
        <w:t>矿井目前涌水量约25m</w:t>
      </w:r>
      <w:r>
        <w:rPr>
          <w:rFonts w:hint="default" w:ascii="Times New Roman" w:hAnsi="Times New Roman" w:cs="Times New Roman"/>
          <w:snapToGrid w:val="0"/>
          <w:color w:val="auto"/>
          <w:sz w:val="24"/>
          <w:vertAlign w:val="superscript"/>
        </w:rPr>
        <w:t>3</w:t>
      </w:r>
      <w:r>
        <w:rPr>
          <w:rFonts w:hint="default" w:ascii="Times New Roman" w:hAnsi="Times New Roman" w:cs="Times New Roman"/>
          <w:snapToGrid w:val="0"/>
          <w:color w:val="auto"/>
          <w:sz w:val="24"/>
        </w:rPr>
        <w:t>/d，而根据设计文件，随着开采深度的增加，井下涌水量将增大到100m</w:t>
      </w:r>
      <w:r>
        <w:rPr>
          <w:rFonts w:hint="default" w:ascii="Times New Roman" w:hAnsi="Times New Roman" w:cs="Times New Roman"/>
          <w:snapToGrid w:val="0"/>
          <w:color w:val="auto"/>
          <w:sz w:val="24"/>
          <w:vertAlign w:val="superscript"/>
        </w:rPr>
        <w:t>3</w:t>
      </w:r>
      <w:r>
        <w:rPr>
          <w:rFonts w:hint="default" w:ascii="Times New Roman" w:hAnsi="Times New Roman" w:cs="Times New Roman"/>
          <w:snapToGrid w:val="0"/>
          <w:color w:val="auto"/>
          <w:sz w:val="24"/>
        </w:rPr>
        <w:t>/d，经地表中和沉淀池处理后，</w:t>
      </w:r>
      <w:r>
        <w:rPr>
          <w:rFonts w:hint="eastAsia" w:cs="Times New Roman"/>
          <w:snapToGrid w:val="0"/>
          <w:color w:val="auto"/>
          <w:sz w:val="24"/>
          <w:lang w:eastAsia="zh-CN"/>
        </w:rPr>
        <w:t>全部</w:t>
      </w:r>
      <w:r>
        <w:rPr>
          <w:rFonts w:hint="default" w:ascii="Times New Roman" w:hAnsi="Times New Roman" w:cs="Times New Roman"/>
          <w:snapToGrid w:val="0"/>
          <w:color w:val="auto"/>
          <w:sz w:val="24"/>
        </w:rPr>
        <w:t>回用于生产</w:t>
      </w:r>
      <w:r>
        <w:rPr>
          <w:rFonts w:hint="eastAsia" w:cs="Times New Roman"/>
          <w:snapToGrid w:val="0"/>
          <w:color w:val="auto"/>
          <w:sz w:val="24"/>
          <w:lang w:eastAsia="zh-CN"/>
        </w:rPr>
        <w:t>。</w:t>
      </w:r>
    </w:p>
    <w:p>
      <w:pPr>
        <w:pStyle w:val="2"/>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rPr>
        <w:t>本项目改扩建前后水量平衡情况详见图</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.4-1</w:t>
      </w:r>
      <w:r>
        <w:rPr>
          <w:rFonts w:hint="default" w:ascii="Times New Roman" w:hAnsi="Times New Roman" w:cs="Times New Roman"/>
          <w:color w:val="auto"/>
          <w:sz w:val="24"/>
        </w:rPr>
        <w:t>和图</w:t>
      </w:r>
      <w:r>
        <w:rPr>
          <w:rFonts w:hint="eastAsia" w:cs="Times New Roman"/>
          <w:color w:val="auto"/>
          <w:sz w:val="24"/>
          <w:lang w:val="en-US" w:eastAsia="zh-CN"/>
        </w:rPr>
        <w:t>2</w:t>
      </w:r>
      <w:r>
        <w:rPr>
          <w:rFonts w:hint="default" w:ascii="Times New Roman" w:hAnsi="Times New Roman" w:cs="Times New Roman"/>
          <w:color w:val="auto"/>
          <w:sz w:val="24"/>
          <w:lang w:val="en-US" w:eastAsia="zh-CN"/>
        </w:rPr>
        <w:t>.4-2</w:t>
      </w:r>
      <w:r>
        <w:rPr>
          <w:rFonts w:hint="default" w:ascii="Times New Roman" w:hAnsi="Times New Roman" w:cs="Times New Roman"/>
          <w:color w:val="auto"/>
          <w:sz w:val="24"/>
        </w:rPr>
        <w:t>。</w:t>
      </w:r>
    </w:p>
    <w:p>
      <w:pPr>
        <w:pStyle w:val="2"/>
        <w:jc w:val="center"/>
      </w:pPr>
      <w:r>
        <w:drawing>
          <wp:inline distT="0" distB="0" distL="114300" distR="114300">
            <wp:extent cx="5393690" cy="1338580"/>
            <wp:effectExtent l="0" t="0" r="16510" b="1397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6"/>
                    <a:srcRect l="16150" t="9060"/>
                    <a:stretch>
                      <a:fillRect/>
                    </a:stretch>
                  </pic:blipFill>
                  <pic:spPr>
                    <a:xfrm>
                      <a:off x="0" y="0"/>
                      <a:ext cx="5393690" cy="1338580"/>
                    </a:xfrm>
                    <a:prstGeom prst="rect">
                      <a:avLst/>
                    </a:prstGeom>
                    <a:noFill/>
                    <a:ln w="9525">
                      <a:noFill/>
                    </a:ln>
                  </pic:spPr>
                </pic:pic>
              </a:graphicData>
            </a:graphic>
          </wp:inline>
        </w:drawing>
      </w:r>
    </w:p>
    <w:p>
      <w:pPr>
        <w:pStyle w:val="2"/>
        <w:jc w:val="center"/>
      </w:pPr>
      <w:r>
        <w:drawing>
          <wp:inline distT="0" distB="0" distL="114300" distR="114300">
            <wp:extent cx="4439920" cy="1719580"/>
            <wp:effectExtent l="0" t="0" r="0" b="1397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17"/>
                    <a:srcRect l="3332" t="6574" r="-8624"/>
                    <a:stretch>
                      <a:fillRect/>
                    </a:stretch>
                  </pic:blipFill>
                  <pic:spPr>
                    <a:xfrm>
                      <a:off x="0" y="0"/>
                      <a:ext cx="4439920" cy="1719580"/>
                    </a:xfrm>
                    <a:prstGeom prst="rect">
                      <a:avLst/>
                    </a:prstGeom>
                    <a:noFill/>
                    <a:ln w="9525">
                      <a:noFill/>
                    </a:ln>
                  </pic:spPr>
                </pic:pic>
              </a:graphicData>
            </a:graphic>
          </wp:inline>
        </w:drawing>
      </w:r>
    </w:p>
    <w:p>
      <w:pPr>
        <w:pStyle w:val="5"/>
        <w:rPr>
          <w:rFonts w:hint="eastAsia"/>
          <w:color w:val="auto"/>
        </w:rPr>
      </w:pPr>
      <w:r>
        <w:rPr>
          <w:rFonts w:hint="eastAsia"/>
          <w:color w:val="auto"/>
          <w:lang w:val="en-US" w:eastAsia="zh-CN"/>
        </w:rPr>
        <w:t>2</w:t>
      </w:r>
      <w:r>
        <w:rPr>
          <w:color w:val="auto"/>
        </w:rPr>
        <w:t>.</w:t>
      </w:r>
      <w:r>
        <w:rPr>
          <w:rFonts w:hint="eastAsia"/>
          <w:color w:val="auto"/>
          <w:lang w:val="en-US" w:eastAsia="zh-CN"/>
        </w:rPr>
        <w:t>4</w:t>
      </w:r>
      <w:r>
        <w:rPr>
          <w:rFonts w:hint="eastAsia"/>
          <w:color w:val="auto"/>
        </w:rPr>
        <w:t>.5井下排水系统</w:t>
      </w:r>
    </w:p>
    <w:p>
      <w:pPr>
        <w:spacing w:line="360" w:lineRule="auto"/>
        <w:ind w:left="0" w:leftChars="0" w:firstLine="480" w:firstLineChars="200"/>
        <w:rPr>
          <w:rFonts w:hint="eastAsia" w:hAnsi="宋体" w:eastAsia="宋体"/>
          <w:color w:val="auto"/>
          <w:sz w:val="24"/>
          <w:lang w:eastAsia="zh-CN"/>
        </w:rPr>
      </w:pPr>
      <w:r>
        <w:rPr>
          <w:color w:val="auto"/>
          <w:sz w:val="24"/>
        </w:rPr>
        <w:t>+75m</w:t>
      </w:r>
      <w:r>
        <w:rPr>
          <w:rFonts w:hAnsi="宋体"/>
          <w:color w:val="auto"/>
          <w:sz w:val="24"/>
        </w:rPr>
        <w:t>中段主斜井井底车场设有</w:t>
      </w:r>
      <w:r>
        <w:rPr>
          <w:rFonts w:hint="eastAsia" w:hAnsi="宋体"/>
          <w:color w:val="auto"/>
          <w:sz w:val="24"/>
        </w:rPr>
        <w:t>水仓</w:t>
      </w:r>
      <w:r>
        <w:rPr>
          <w:rFonts w:hAnsi="宋体"/>
          <w:color w:val="auto"/>
          <w:sz w:val="24"/>
        </w:rPr>
        <w:t>排水站，</w:t>
      </w:r>
      <w:r>
        <w:rPr>
          <w:rFonts w:hint="eastAsia" w:hAnsi="宋体"/>
          <w:color w:val="auto"/>
          <w:sz w:val="24"/>
        </w:rPr>
        <w:t>水仓容积为60m</w:t>
      </w:r>
      <w:r>
        <w:rPr>
          <w:rFonts w:hint="eastAsia" w:hAnsi="宋体"/>
          <w:color w:val="auto"/>
          <w:sz w:val="24"/>
          <w:vertAlign w:val="superscript"/>
        </w:rPr>
        <w:t>3</w:t>
      </w:r>
      <w:r>
        <w:rPr>
          <w:rFonts w:hint="eastAsia" w:hAnsi="宋体"/>
          <w:color w:val="auto"/>
          <w:sz w:val="24"/>
        </w:rPr>
        <w:t>。</w:t>
      </w:r>
      <w:r>
        <w:rPr>
          <w:rFonts w:hAnsi="宋体"/>
          <w:color w:val="auto"/>
          <w:sz w:val="24"/>
        </w:rPr>
        <w:t>配置潜水泵</w:t>
      </w:r>
      <w:r>
        <w:rPr>
          <w:color w:val="auto"/>
          <w:sz w:val="24"/>
        </w:rPr>
        <w:t>3</w:t>
      </w:r>
      <w:r>
        <w:rPr>
          <w:rFonts w:hAnsi="宋体"/>
          <w:color w:val="auto"/>
          <w:sz w:val="24"/>
        </w:rPr>
        <w:t>台，型号为</w:t>
      </w:r>
      <w:r>
        <w:rPr>
          <w:color w:val="auto"/>
          <w:sz w:val="24"/>
        </w:rPr>
        <w:t>100D-16×5</w:t>
      </w:r>
      <w:r>
        <w:rPr>
          <w:rFonts w:hAnsi="宋体"/>
          <w:color w:val="auto"/>
          <w:sz w:val="24"/>
        </w:rPr>
        <w:t>；主斜井延深至</w:t>
      </w:r>
      <w:r>
        <w:rPr>
          <w:color w:val="auto"/>
          <w:sz w:val="24"/>
        </w:rPr>
        <w:t>+55m</w:t>
      </w:r>
      <w:r>
        <w:rPr>
          <w:rFonts w:hAnsi="宋体"/>
          <w:color w:val="auto"/>
          <w:sz w:val="24"/>
        </w:rPr>
        <w:t>中段后，撤去</w:t>
      </w:r>
      <w:r>
        <w:rPr>
          <w:color w:val="auto"/>
          <w:sz w:val="24"/>
        </w:rPr>
        <w:t>+75m</w:t>
      </w:r>
      <w:r>
        <w:rPr>
          <w:rFonts w:hAnsi="宋体"/>
          <w:color w:val="auto"/>
          <w:sz w:val="24"/>
        </w:rPr>
        <w:t>中段排水站，在</w:t>
      </w:r>
      <w:r>
        <w:rPr>
          <w:color w:val="auto"/>
          <w:sz w:val="24"/>
        </w:rPr>
        <w:t>+55m</w:t>
      </w:r>
      <w:r>
        <w:rPr>
          <w:rFonts w:hAnsi="宋体"/>
          <w:color w:val="auto"/>
          <w:sz w:val="24"/>
        </w:rPr>
        <w:t>中段设置排水站，排水管道经主斜井至地表</w:t>
      </w:r>
      <w:r>
        <w:rPr>
          <w:color w:val="auto"/>
          <w:sz w:val="24"/>
        </w:rPr>
        <w:t>127m</w:t>
      </w:r>
      <w:r>
        <w:rPr>
          <w:rFonts w:hAnsi="宋体"/>
          <w:color w:val="auto"/>
          <w:sz w:val="24"/>
        </w:rPr>
        <w:t>，排水高度为</w:t>
      </w:r>
      <w:r>
        <w:rPr>
          <w:color w:val="auto"/>
          <w:sz w:val="24"/>
        </w:rPr>
        <w:t>72m</w:t>
      </w:r>
      <w:r>
        <w:rPr>
          <w:rFonts w:hAnsi="宋体"/>
          <w:color w:val="auto"/>
          <w:sz w:val="24"/>
        </w:rPr>
        <w:t>。在</w:t>
      </w:r>
      <w:r>
        <w:rPr>
          <w:color w:val="auto"/>
          <w:sz w:val="24"/>
        </w:rPr>
        <w:t>+55m</w:t>
      </w:r>
      <w:r>
        <w:rPr>
          <w:rFonts w:hAnsi="宋体"/>
          <w:color w:val="auto"/>
          <w:sz w:val="24"/>
        </w:rPr>
        <w:t>配置</w:t>
      </w:r>
      <w:r>
        <w:rPr>
          <w:color w:val="auto"/>
          <w:sz w:val="24"/>
        </w:rPr>
        <w:t>D.DG25-30</w:t>
      </w:r>
      <w:r>
        <w:rPr>
          <w:rFonts w:hAnsi="宋体"/>
          <w:color w:val="auto"/>
          <w:sz w:val="24"/>
        </w:rPr>
        <w:t>型水泵</w:t>
      </w:r>
      <w:r>
        <w:rPr>
          <w:color w:val="auto"/>
          <w:sz w:val="24"/>
        </w:rPr>
        <w:t>3</w:t>
      </w:r>
      <w:r>
        <w:rPr>
          <w:rFonts w:hAnsi="宋体"/>
          <w:color w:val="auto"/>
          <w:sz w:val="24"/>
        </w:rPr>
        <w:t>台，扬程为</w:t>
      </w:r>
      <w:r>
        <w:rPr>
          <w:color w:val="auto"/>
          <w:sz w:val="24"/>
        </w:rPr>
        <w:t>90m</w:t>
      </w:r>
      <w:r>
        <w:rPr>
          <w:rFonts w:hAnsi="宋体"/>
          <w:color w:val="auto"/>
          <w:sz w:val="24"/>
        </w:rPr>
        <w:t>，流量为</w:t>
      </w:r>
      <w:r>
        <w:rPr>
          <w:color w:val="auto"/>
          <w:sz w:val="24"/>
        </w:rPr>
        <w:t>25m</w:t>
      </w:r>
      <w:r>
        <w:rPr>
          <w:color w:val="auto"/>
          <w:sz w:val="24"/>
          <w:vertAlign w:val="superscript"/>
        </w:rPr>
        <w:t>3</w:t>
      </w:r>
      <w:r>
        <w:rPr>
          <w:color w:val="auto"/>
          <w:sz w:val="24"/>
        </w:rPr>
        <w:t>/</w:t>
      </w:r>
      <w:r>
        <w:rPr>
          <w:rFonts w:hint="eastAsia"/>
          <w:color w:val="auto"/>
          <w:sz w:val="24"/>
        </w:rPr>
        <w:t>d</w:t>
      </w:r>
      <w:r>
        <w:rPr>
          <w:rFonts w:hAnsi="宋体"/>
          <w:color w:val="auto"/>
          <w:sz w:val="24"/>
        </w:rPr>
        <w:t>。正常情况下，一台工作，一台备用，一台检修；涌水量增大时，</w:t>
      </w:r>
      <w:r>
        <w:rPr>
          <w:color w:val="auto"/>
          <w:sz w:val="24"/>
        </w:rPr>
        <w:t>2</w:t>
      </w:r>
      <w:r>
        <w:rPr>
          <w:rFonts w:hAnsi="宋体"/>
          <w:color w:val="auto"/>
          <w:sz w:val="24"/>
        </w:rPr>
        <w:t>台水泵同时工作，</w:t>
      </w:r>
      <w:r>
        <w:rPr>
          <w:color w:val="auto"/>
          <w:sz w:val="24"/>
        </w:rPr>
        <w:t>1</w:t>
      </w:r>
      <w:r>
        <w:rPr>
          <w:rFonts w:hAnsi="宋体"/>
          <w:color w:val="auto"/>
          <w:sz w:val="24"/>
        </w:rPr>
        <w:t>台备用</w:t>
      </w:r>
      <w:r>
        <w:rPr>
          <w:rFonts w:hint="eastAsia" w:hAnsi="宋体"/>
          <w:color w:val="auto"/>
          <w:sz w:val="24"/>
          <w:lang w:eastAsia="zh-CN"/>
        </w:rPr>
        <w:t>。</w:t>
      </w:r>
    </w:p>
    <w:p>
      <w:pPr>
        <w:pStyle w:val="5"/>
        <w:spacing w:line="360" w:lineRule="auto"/>
        <w:rPr>
          <w:rFonts w:hint="default" w:ascii="Times New Roman" w:hAnsi="Times New Roman" w:cs="Times New Roman"/>
          <w:color w:val="auto"/>
        </w:rPr>
      </w:pPr>
      <w:r>
        <w:rPr>
          <w:rFonts w:hint="eastAsia"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4</w:t>
      </w:r>
      <w:r>
        <w:rPr>
          <w:rFonts w:hint="default" w:ascii="Times New Roman" w:hAnsi="Times New Roman" w:cs="Times New Roman"/>
          <w:color w:val="auto"/>
        </w:rPr>
        <w:t>.6雨、污水分流处理系统及排水途径</w:t>
      </w:r>
    </w:p>
    <w:p>
      <w:pPr>
        <w:spacing w:line="360" w:lineRule="auto"/>
        <w:ind w:firstLine="42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auto"/>
          <w:sz w:val="24"/>
        </w:rPr>
        <w:t>本项目</w:t>
      </w:r>
      <w:r>
        <w:rPr>
          <w:rFonts w:hint="eastAsia" w:cs="Times New Roman"/>
          <w:color w:val="auto"/>
          <w:sz w:val="24"/>
          <w:lang w:eastAsia="zh-CN"/>
        </w:rPr>
        <w:t>建设了</w:t>
      </w:r>
      <w:r>
        <w:rPr>
          <w:rFonts w:hint="default" w:ascii="Times New Roman" w:hAnsi="Times New Roman" w:cs="Times New Roman"/>
          <w:color w:val="auto"/>
          <w:sz w:val="24"/>
        </w:rPr>
        <w:t>矿坑涌水集水沟系统，</w:t>
      </w:r>
      <w:r>
        <w:rPr>
          <w:rFonts w:hint="eastAsia" w:cs="Times New Roman"/>
          <w:color w:val="auto"/>
          <w:sz w:val="24"/>
          <w:lang w:eastAsia="zh-CN"/>
        </w:rPr>
        <w:t>建设了</w:t>
      </w:r>
      <w:r>
        <w:rPr>
          <w:rFonts w:hint="default" w:ascii="Times New Roman" w:hAnsi="Times New Roman" w:cs="Times New Roman"/>
          <w:color w:val="auto"/>
          <w:sz w:val="24"/>
        </w:rPr>
        <w:t>矿区雨水与矿山废水分排系统，其中雨水截水沟设置在顺着山体坡面而下的底侧周围，并新建单独的截洪沟将雨水引往</w:t>
      </w:r>
      <w:r>
        <w:rPr>
          <w:rFonts w:hint="eastAsia" w:cs="Times New Roman"/>
          <w:color w:val="auto"/>
          <w:sz w:val="24"/>
          <w:lang w:eastAsia="zh-CN"/>
        </w:rPr>
        <w:t>矿区西侧沟渠</w:t>
      </w:r>
      <w:r>
        <w:rPr>
          <w:rFonts w:hint="default" w:ascii="Times New Roman" w:hAnsi="Times New Roman" w:cs="Times New Roman"/>
          <w:color w:val="auto"/>
          <w:sz w:val="24"/>
        </w:rPr>
        <w:t>。在</w:t>
      </w:r>
      <w:r>
        <w:rPr>
          <w:rFonts w:hint="default" w:ascii="Times New Roman" w:hAnsi="Times New Roman" w:cs="Times New Roman"/>
          <w:snapToGrid w:val="0"/>
          <w:color w:val="auto"/>
          <w:kern w:val="0"/>
          <w:sz w:val="24"/>
        </w:rPr>
        <w:t>矿石堆场及工业场地周边设置封闭式集水沟，将所有工业废水集中到矿区的处理池进行沉淀处理</w:t>
      </w:r>
      <w:r>
        <w:rPr>
          <w:rFonts w:hint="eastAsia" w:cs="Times New Roman"/>
          <w:snapToGrid w:val="0"/>
          <w:color w:val="auto"/>
          <w:kern w:val="0"/>
          <w:sz w:val="24"/>
          <w:lang w:eastAsia="zh-CN"/>
        </w:rPr>
        <w:t>回</w:t>
      </w:r>
      <w:r>
        <w:rPr>
          <w:rFonts w:hint="eastAsia" w:cs="Times New Roman"/>
          <w:snapToGrid w:val="0"/>
          <w:color w:val="000000" w:themeColor="text1"/>
          <w:kern w:val="0"/>
          <w:sz w:val="24"/>
          <w:lang w:eastAsia="zh-CN"/>
          <w14:textFill>
            <w14:solidFill>
              <w14:schemeClr w14:val="tx1"/>
            </w14:solidFill>
          </w14:textFill>
        </w:rPr>
        <w:t>用</w:t>
      </w:r>
      <w:r>
        <w:rPr>
          <w:rFonts w:hint="default" w:ascii="Times New Roman" w:hAnsi="Times New Roman" w:cs="Times New Roman"/>
          <w:snapToGrid w:val="0"/>
          <w:color w:val="000000" w:themeColor="text1"/>
          <w:kern w:val="0"/>
          <w:sz w:val="24"/>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以避免雨污混流状况的产生，</w:t>
      </w:r>
      <w:r>
        <w:rPr>
          <w:rFonts w:hint="eastAsia" w:cs="Times New Roman"/>
          <w:color w:val="000000" w:themeColor="text1"/>
          <w:sz w:val="24"/>
          <w:lang w:eastAsia="zh-CN"/>
          <w14:textFill>
            <w14:solidFill>
              <w14:schemeClr w14:val="tx1"/>
            </w14:solidFill>
          </w14:textFill>
        </w:rPr>
        <w:t>雨</w:t>
      </w:r>
      <w:r>
        <w:rPr>
          <w:rFonts w:hint="default" w:ascii="Times New Roman" w:hAnsi="Times New Roman" w:cs="Times New Roman"/>
          <w:color w:val="000000" w:themeColor="text1"/>
          <w:sz w:val="24"/>
          <w14:textFill>
            <w14:solidFill>
              <w14:schemeClr w14:val="tx1"/>
            </w14:solidFill>
          </w14:textFill>
        </w:rPr>
        <w:t>水</w:t>
      </w:r>
      <w:r>
        <w:rPr>
          <w:rFonts w:hint="eastAsia" w:cs="Times New Roman"/>
          <w:color w:val="000000" w:themeColor="text1"/>
          <w:sz w:val="24"/>
          <w:lang w:eastAsia="zh-CN"/>
          <w14:textFill>
            <w14:solidFill>
              <w14:schemeClr w14:val="tx1"/>
            </w14:solidFill>
          </w14:textFill>
        </w:rPr>
        <w:t>经截水沟引流</w:t>
      </w:r>
      <w:r>
        <w:rPr>
          <w:rFonts w:hint="default" w:ascii="Times New Roman" w:hAnsi="Times New Roman" w:cs="Times New Roman"/>
          <w:color w:val="000000" w:themeColor="text1"/>
          <w:sz w:val="24"/>
          <w14:textFill>
            <w14:solidFill>
              <w14:schemeClr w14:val="tx1"/>
            </w14:solidFill>
          </w14:textFill>
        </w:rPr>
        <w:t>由山谷中间的排水沟排入矿区西侧的沟渠，再向北约1.7km后汇入白洋河。</w:t>
      </w:r>
    </w:p>
    <w:p>
      <w:pPr>
        <w:pStyle w:val="5"/>
        <w:spacing w:line="360" w:lineRule="auto"/>
        <w:rPr>
          <w:rFonts w:hint="default"/>
          <w:color w:val="auto"/>
        </w:rPr>
      </w:pPr>
      <w:r>
        <w:rPr>
          <w:rFonts w:hint="eastAsia"/>
          <w:color w:val="auto"/>
          <w:lang w:val="en-US" w:eastAsia="zh-CN"/>
        </w:rPr>
        <w:t>2</w:t>
      </w:r>
      <w:r>
        <w:rPr>
          <w:rFonts w:hint="default"/>
          <w:color w:val="auto"/>
        </w:rPr>
        <w:t>.</w:t>
      </w:r>
      <w:r>
        <w:rPr>
          <w:rFonts w:hint="eastAsia"/>
          <w:color w:val="auto"/>
          <w:lang w:val="en-US" w:eastAsia="zh-CN"/>
        </w:rPr>
        <w:t>4</w:t>
      </w:r>
      <w:r>
        <w:rPr>
          <w:rFonts w:hint="default"/>
          <w:color w:val="auto"/>
        </w:rPr>
        <w:t>.7爆破材料设施</w:t>
      </w:r>
    </w:p>
    <w:p>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矿山爆破用硝铵炸药消耗量约29t/a，炸药库设置在主井西北约600m处，由专人负责看护、管理，不构成重大危险源，炸药和爆破器材的存储、运搬、加工、发放等须按《爆破安全规程》及爆破器材库房建设标准的有关规定执行。在落实相关防护措施和加强管理的前提下，对周围环境及人员安全的影响处于可接受范围之内。</w:t>
      </w:r>
    </w:p>
    <w:p>
      <w:pPr>
        <w:pStyle w:val="5"/>
        <w:spacing w:line="360" w:lineRule="auto"/>
        <w:rPr>
          <w:rFonts w:hint="default"/>
          <w:color w:val="auto"/>
        </w:rPr>
      </w:pPr>
      <w:r>
        <w:rPr>
          <w:rFonts w:hint="eastAsia"/>
          <w:color w:val="auto"/>
          <w:lang w:val="en-US" w:eastAsia="zh-CN"/>
        </w:rPr>
        <w:t>2</w:t>
      </w:r>
      <w:r>
        <w:rPr>
          <w:rFonts w:hint="default"/>
          <w:color w:val="auto"/>
        </w:rPr>
        <w:t>.</w:t>
      </w:r>
      <w:r>
        <w:rPr>
          <w:rFonts w:hint="eastAsia"/>
          <w:color w:val="auto"/>
          <w:lang w:val="en-US" w:eastAsia="zh-CN"/>
        </w:rPr>
        <w:t>4</w:t>
      </w:r>
      <w:r>
        <w:rPr>
          <w:rFonts w:hint="default"/>
          <w:color w:val="auto"/>
        </w:rPr>
        <w:t>.8矿石堆场</w:t>
      </w:r>
    </w:p>
    <w:p>
      <w:pPr>
        <w:pStyle w:val="2"/>
        <w:ind w:firstLine="480" w:firstLineChars="200"/>
        <w:jc w:val="both"/>
        <w:rPr>
          <w:rFonts w:hint="eastAsia" w:ascii="Times New Roman" w:hAnsi="Times New Roman" w:cs="Times New Roman"/>
          <w:color w:val="auto"/>
          <w:sz w:val="24"/>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color w:val="auto"/>
          <w:sz w:val="24"/>
          <w:lang w:eastAsia="zh-CN"/>
        </w:rPr>
        <w:t>项目已取消矿石堆场，对</w:t>
      </w:r>
      <w:r>
        <w:rPr>
          <w:rFonts w:hint="eastAsia" w:cs="Times New Roman"/>
          <w:color w:val="auto"/>
          <w:sz w:val="24"/>
          <w:lang w:eastAsia="zh-CN"/>
        </w:rPr>
        <w:t>整合前的</w:t>
      </w:r>
      <w:r>
        <w:rPr>
          <w:rFonts w:hint="eastAsia" w:ascii="Times New Roman" w:hAnsi="Times New Roman" w:cs="Times New Roman"/>
          <w:color w:val="auto"/>
          <w:sz w:val="24"/>
          <w:lang w:eastAsia="zh-CN"/>
        </w:rPr>
        <w:t>矿石堆场进行了初步的生态恢复。</w:t>
      </w:r>
    </w:p>
    <w:p>
      <w:pPr>
        <w:pStyle w:val="3"/>
        <w:jc w:val="center"/>
      </w:pPr>
      <w:bookmarkStart w:id="186" w:name="_Toc18000"/>
      <w:r>
        <w:rPr>
          <w:rFonts w:hint="eastAsia"/>
          <w:lang w:val="en-US" w:eastAsia="zh-CN"/>
        </w:rPr>
        <w:t>3 环境影响报告书回顾</w:t>
      </w:r>
      <w:bookmarkEnd w:id="186"/>
    </w:p>
    <w:p>
      <w:pPr>
        <w:pStyle w:val="4"/>
        <w:rPr>
          <w:color w:val="auto"/>
        </w:rPr>
      </w:pPr>
      <w:bookmarkStart w:id="187" w:name="_Toc25471"/>
      <w:bookmarkStart w:id="188" w:name="_Toc4305"/>
      <w:bookmarkStart w:id="189" w:name="_Toc2047"/>
      <w:bookmarkStart w:id="190" w:name="_Toc446489355"/>
      <w:bookmarkStart w:id="191" w:name="_Toc1248"/>
      <w:bookmarkStart w:id="192" w:name="_Toc12204"/>
      <w:r>
        <w:rPr>
          <w:rFonts w:hint="eastAsia"/>
          <w:color w:val="auto"/>
          <w:lang w:val="en-US" w:eastAsia="zh-CN"/>
        </w:rPr>
        <w:t>3</w:t>
      </w:r>
      <w:r>
        <w:rPr>
          <w:color w:val="auto"/>
        </w:rPr>
        <w:t>.1</w:t>
      </w:r>
      <w:r>
        <w:rPr>
          <w:rFonts w:hint="eastAsia"/>
          <w:color w:val="auto"/>
        </w:rPr>
        <w:t xml:space="preserve"> </w:t>
      </w:r>
      <w:bookmarkEnd w:id="187"/>
      <w:bookmarkEnd w:id="188"/>
      <w:bookmarkEnd w:id="189"/>
      <w:bookmarkEnd w:id="190"/>
      <w:bookmarkEnd w:id="191"/>
      <w:r>
        <w:rPr>
          <w:rFonts w:hint="eastAsia" w:ascii="宋体" w:hAnsi="宋体" w:eastAsia="宋体"/>
          <w:sz w:val="28"/>
          <w:szCs w:val="28"/>
        </w:rPr>
        <w:t>环评的主要结论与建议</w:t>
      </w:r>
      <w:bookmarkEnd w:id="192"/>
    </w:p>
    <w:p>
      <w:pPr>
        <w:spacing w:line="360" w:lineRule="auto"/>
        <w:rPr>
          <w:rFonts w:hint="default" w:ascii="Times New Roman" w:hAnsi="Times New Roman" w:eastAsia="宋体" w:cs="Times New Roman"/>
          <w:b w:val="0"/>
          <w:bCs w:val="0"/>
          <w:color w:val="auto"/>
          <w:lang w:eastAsia="zh-CN"/>
        </w:rPr>
      </w:pPr>
      <w:bookmarkStart w:id="193" w:name="_Toc17071"/>
      <w:bookmarkStart w:id="194" w:name="_Toc9746"/>
      <w:bookmarkStart w:id="195" w:name="_Toc14048"/>
      <w:bookmarkStart w:id="196" w:name="_Toc446489356"/>
      <w:bookmarkStart w:id="197" w:name="_Toc16775"/>
      <w:bookmarkStart w:id="198" w:name="_Toc25155"/>
      <w:bookmarkStart w:id="199" w:name="_Toc20896"/>
      <w:r>
        <w:rPr>
          <w:rFonts w:hint="eastAsia" w:ascii="Times New Roman" w:hAnsi="Times New Roman" w:eastAsia="宋体" w:cs="Times New Roman"/>
          <w:b w:val="0"/>
          <w:bCs w:val="0"/>
          <w:color w:val="auto"/>
          <w:lang w:val="en-US" w:eastAsia="zh-CN"/>
        </w:rPr>
        <w:t>1、</w:t>
      </w:r>
      <w:r>
        <w:rPr>
          <w:rFonts w:hint="default" w:ascii="Times New Roman" w:hAnsi="Times New Roman" w:eastAsia="宋体" w:cs="Times New Roman"/>
          <w:b w:val="0"/>
          <w:bCs w:val="0"/>
          <w:color w:val="auto"/>
          <w:lang w:eastAsia="zh-CN"/>
        </w:rPr>
        <w:t>结论：</w:t>
      </w:r>
    </w:p>
    <w:p>
      <w:pPr>
        <w:spacing w:line="360" w:lineRule="auto"/>
        <w:ind w:firstLine="480" w:firstLineChars="200"/>
        <w:rPr>
          <w:rFonts w:hint="eastAsia"/>
          <w:b w:val="0"/>
          <w:bCs w:val="0"/>
          <w:snapToGrid w:val="0"/>
          <w:color w:val="000000"/>
          <w:kern w:val="0"/>
          <w:sz w:val="24"/>
        </w:rPr>
      </w:pPr>
      <w:r>
        <w:rPr>
          <w:b w:val="0"/>
          <w:bCs w:val="0"/>
          <w:snapToGrid w:val="0"/>
          <w:color w:val="000000"/>
          <w:kern w:val="0"/>
          <w:sz w:val="24"/>
        </w:rPr>
        <w:t>营运期环境影响评价</w:t>
      </w:r>
      <w:r>
        <w:rPr>
          <w:rFonts w:hint="eastAsia"/>
          <w:b w:val="0"/>
          <w:bCs w:val="0"/>
          <w:snapToGrid w:val="0"/>
          <w:color w:val="000000"/>
          <w:kern w:val="0"/>
          <w:sz w:val="24"/>
        </w:rPr>
        <w:t>结论</w:t>
      </w:r>
    </w:p>
    <w:p>
      <w:pPr>
        <w:spacing w:line="360" w:lineRule="auto"/>
        <w:ind w:firstLine="480" w:firstLineChars="200"/>
        <w:rPr>
          <w:rFonts w:hint="eastAsia"/>
          <w:b w:val="0"/>
          <w:bCs w:val="0"/>
          <w:snapToGrid w:val="0"/>
          <w:color w:val="000000"/>
          <w:kern w:val="0"/>
          <w:sz w:val="24"/>
        </w:rPr>
      </w:pPr>
      <w:r>
        <w:rPr>
          <w:rFonts w:hint="eastAsia"/>
          <w:b w:val="0"/>
          <w:bCs w:val="0"/>
          <w:snapToGrid w:val="0"/>
          <w:color w:val="000000"/>
          <w:kern w:val="0"/>
          <w:sz w:val="24"/>
        </w:rPr>
        <w:t>（1）大气环境影响评价结论</w:t>
      </w:r>
    </w:p>
    <w:p>
      <w:pPr>
        <w:snapToGrid w:val="0"/>
        <w:spacing w:line="360" w:lineRule="auto"/>
        <w:ind w:firstLine="480" w:firstLineChars="200"/>
        <w:rPr>
          <w:rFonts w:hint="eastAsia" w:hAnsi="宋体"/>
          <w:b w:val="0"/>
          <w:bCs w:val="0"/>
          <w:color w:val="000000"/>
          <w:sz w:val="24"/>
        </w:rPr>
      </w:pPr>
      <w:r>
        <w:rPr>
          <w:rFonts w:hint="eastAsia" w:hAnsi="宋体"/>
          <w:b w:val="0"/>
          <w:bCs w:val="0"/>
          <w:color w:val="000000"/>
          <w:sz w:val="24"/>
        </w:rPr>
        <w:t>本</w:t>
      </w:r>
      <w:r>
        <w:rPr>
          <w:rFonts w:hAnsi="宋体"/>
          <w:b w:val="0"/>
          <w:bCs w:val="0"/>
          <w:color w:val="000000"/>
          <w:sz w:val="24"/>
        </w:rPr>
        <w:t>项目主要大气污染物为</w:t>
      </w:r>
      <w:r>
        <w:rPr>
          <w:rFonts w:hint="eastAsia" w:hAnsi="宋体"/>
          <w:b w:val="0"/>
          <w:bCs w:val="0"/>
          <w:color w:val="000000"/>
          <w:sz w:val="24"/>
        </w:rPr>
        <w:t>粉尘</w:t>
      </w:r>
      <w:r>
        <w:rPr>
          <w:rFonts w:hAnsi="宋体"/>
          <w:b w:val="0"/>
          <w:bCs w:val="0"/>
          <w:color w:val="000000"/>
          <w:sz w:val="24"/>
        </w:rPr>
        <w:t>。</w:t>
      </w:r>
      <w:r>
        <w:rPr>
          <w:rFonts w:hint="eastAsia" w:hAnsi="宋体"/>
          <w:b w:val="0"/>
          <w:bCs w:val="0"/>
          <w:color w:val="000000"/>
          <w:sz w:val="24"/>
        </w:rPr>
        <w:t>由</w:t>
      </w:r>
      <w:r>
        <w:rPr>
          <w:rFonts w:hAnsi="宋体"/>
          <w:b w:val="0"/>
          <w:bCs w:val="0"/>
          <w:color w:val="000000"/>
          <w:sz w:val="24"/>
        </w:rPr>
        <w:t>污染物估算模式浓度预测结果</w:t>
      </w:r>
      <w:r>
        <w:rPr>
          <w:rFonts w:hint="eastAsia" w:hAnsi="宋体"/>
          <w:b w:val="0"/>
          <w:bCs w:val="0"/>
          <w:color w:val="000000"/>
          <w:sz w:val="24"/>
        </w:rPr>
        <w:t>可</w:t>
      </w:r>
      <w:r>
        <w:rPr>
          <w:rFonts w:hAnsi="宋体"/>
          <w:b w:val="0"/>
          <w:bCs w:val="0"/>
          <w:color w:val="000000"/>
          <w:sz w:val="24"/>
        </w:rPr>
        <w:t>知，</w:t>
      </w:r>
      <w:r>
        <w:rPr>
          <w:rFonts w:hint="eastAsia" w:hAnsi="宋体"/>
          <w:b w:val="0"/>
          <w:bCs w:val="0"/>
          <w:color w:val="000000"/>
          <w:sz w:val="24"/>
        </w:rPr>
        <w:t>粉尘</w:t>
      </w:r>
      <w:r>
        <w:rPr>
          <w:rFonts w:hAnsi="宋体"/>
          <w:b w:val="0"/>
          <w:bCs w:val="0"/>
          <w:color w:val="000000"/>
          <w:sz w:val="24"/>
        </w:rPr>
        <w:t>最大一次落地浓度为</w:t>
      </w:r>
      <w:r>
        <w:rPr>
          <w:rFonts w:hint="eastAsia" w:hAnsi="宋体"/>
          <w:b w:val="0"/>
          <w:bCs w:val="0"/>
          <w:color w:val="000000"/>
          <w:sz w:val="24"/>
        </w:rPr>
        <w:t>0.000852m</w:t>
      </w:r>
      <w:r>
        <w:rPr>
          <w:rFonts w:hAnsi="宋体"/>
          <w:b w:val="0"/>
          <w:bCs w:val="0"/>
          <w:color w:val="000000"/>
          <w:sz w:val="24"/>
        </w:rPr>
        <w:t>g/m</w:t>
      </w:r>
      <w:r>
        <w:rPr>
          <w:rFonts w:hAnsi="宋体"/>
          <w:b w:val="0"/>
          <w:bCs w:val="0"/>
          <w:color w:val="000000"/>
          <w:sz w:val="24"/>
          <w:vertAlign w:val="superscript"/>
        </w:rPr>
        <w:t>3</w:t>
      </w:r>
      <w:r>
        <w:rPr>
          <w:rFonts w:hAnsi="宋体"/>
          <w:b w:val="0"/>
          <w:bCs w:val="0"/>
          <w:color w:val="000000"/>
          <w:sz w:val="24"/>
        </w:rPr>
        <w:t>，占标率为</w:t>
      </w:r>
      <w:r>
        <w:rPr>
          <w:rFonts w:hint="eastAsia" w:hAnsi="宋体"/>
          <w:b w:val="0"/>
          <w:bCs w:val="0"/>
          <w:color w:val="000000"/>
          <w:sz w:val="24"/>
        </w:rPr>
        <w:t>0.09</w:t>
      </w:r>
      <w:r>
        <w:rPr>
          <w:rFonts w:hAnsi="宋体"/>
          <w:b w:val="0"/>
          <w:bCs w:val="0"/>
          <w:color w:val="000000"/>
          <w:sz w:val="24"/>
        </w:rPr>
        <w:t>%，对应的距离为</w:t>
      </w:r>
      <w:r>
        <w:rPr>
          <w:rFonts w:hint="eastAsia" w:hAnsi="宋体"/>
          <w:b w:val="0"/>
          <w:bCs w:val="0"/>
          <w:color w:val="000000"/>
          <w:sz w:val="24"/>
        </w:rPr>
        <w:t>393</w:t>
      </w:r>
      <w:r>
        <w:rPr>
          <w:rFonts w:hAnsi="宋体"/>
          <w:b w:val="0"/>
          <w:bCs w:val="0"/>
          <w:color w:val="000000"/>
          <w:sz w:val="24"/>
        </w:rPr>
        <w:t>m</w:t>
      </w:r>
      <w:r>
        <w:rPr>
          <w:rFonts w:hint="eastAsia" w:hAnsi="宋体"/>
          <w:b w:val="0"/>
          <w:bCs w:val="0"/>
          <w:color w:val="000000"/>
          <w:sz w:val="24"/>
        </w:rPr>
        <w:t>。</w:t>
      </w:r>
      <w:r>
        <w:rPr>
          <w:rFonts w:hAnsi="宋体"/>
          <w:b w:val="0"/>
          <w:bCs w:val="0"/>
          <w:color w:val="000000"/>
          <w:sz w:val="24"/>
        </w:rPr>
        <w:t>估算模式</w:t>
      </w:r>
      <w:r>
        <w:rPr>
          <w:rFonts w:hint="eastAsia" w:hAnsi="宋体"/>
          <w:b w:val="0"/>
          <w:bCs w:val="0"/>
          <w:color w:val="000000"/>
          <w:sz w:val="24"/>
        </w:rPr>
        <w:t>已</w:t>
      </w:r>
      <w:r>
        <w:rPr>
          <w:rFonts w:hAnsi="宋体"/>
          <w:b w:val="0"/>
          <w:bCs w:val="0"/>
          <w:color w:val="000000"/>
          <w:sz w:val="24"/>
        </w:rPr>
        <w:t>考虑了最不利的气象条件，分析预测结果</w:t>
      </w:r>
      <w:r>
        <w:rPr>
          <w:rFonts w:hint="eastAsia" w:hAnsi="宋体"/>
          <w:b w:val="0"/>
          <w:bCs w:val="0"/>
          <w:color w:val="000000"/>
          <w:sz w:val="24"/>
        </w:rPr>
        <w:t>表明，本</w:t>
      </w:r>
      <w:r>
        <w:rPr>
          <w:rFonts w:hAnsi="宋体"/>
          <w:b w:val="0"/>
          <w:bCs w:val="0"/>
          <w:color w:val="000000"/>
          <w:sz w:val="24"/>
        </w:rPr>
        <w:t>项目对周围大气环境质量影响不大。只要确保环保设施正常运行，尽量减少或避免非正常工况的发生，就能保障对大气环境的影响不大。</w:t>
      </w:r>
    </w:p>
    <w:p>
      <w:pPr>
        <w:numPr>
          <w:ilvl w:val="-1"/>
          <w:numId w:val="0"/>
        </w:numPr>
        <w:spacing w:line="360" w:lineRule="auto"/>
        <w:ind w:left="480" w:firstLine="0"/>
        <w:rPr>
          <w:rFonts w:hint="eastAsia"/>
          <w:b w:val="0"/>
          <w:bCs w:val="0"/>
          <w:color w:val="000000"/>
          <w:sz w:val="24"/>
        </w:rPr>
      </w:pPr>
      <w:r>
        <w:rPr>
          <w:rFonts w:hint="eastAsia"/>
          <w:b w:val="0"/>
          <w:bCs w:val="0"/>
          <w:color w:val="000000"/>
          <w:sz w:val="24"/>
          <w:lang w:eastAsia="zh-CN"/>
        </w:rPr>
        <w:t>（</w:t>
      </w:r>
      <w:r>
        <w:rPr>
          <w:rFonts w:hint="eastAsia"/>
          <w:b w:val="0"/>
          <w:bCs w:val="0"/>
          <w:color w:val="000000"/>
          <w:sz w:val="24"/>
          <w:lang w:val="en-US" w:eastAsia="zh-CN"/>
        </w:rPr>
        <w:t>2</w:t>
      </w:r>
      <w:r>
        <w:rPr>
          <w:rFonts w:hint="eastAsia"/>
          <w:b w:val="0"/>
          <w:bCs w:val="0"/>
          <w:color w:val="000000"/>
          <w:sz w:val="24"/>
          <w:lang w:eastAsia="zh-CN"/>
        </w:rPr>
        <w:t>）</w:t>
      </w:r>
      <w:r>
        <w:rPr>
          <w:rFonts w:hint="eastAsia"/>
          <w:b w:val="0"/>
          <w:bCs w:val="0"/>
          <w:color w:val="000000"/>
          <w:sz w:val="24"/>
        </w:rPr>
        <w:t>地表水环境影响评价结论</w:t>
      </w:r>
    </w:p>
    <w:p>
      <w:pPr>
        <w:spacing w:line="360" w:lineRule="auto"/>
        <w:ind w:firstLine="480" w:firstLineChars="200"/>
        <w:rPr>
          <w:b w:val="0"/>
          <w:bCs w:val="0"/>
          <w:color w:val="000000"/>
          <w:sz w:val="24"/>
        </w:rPr>
      </w:pPr>
      <w:r>
        <w:rPr>
          <w:rFonts w:hint="eastAsia"/>
          <w:b w:val="0"/>
          <w:bCs w:val="0"/>
          <w:color w:val="000000"/>
          <w:sz w:val="24"/>
        </w:rPr>
        <w:t>本项目矿井排水和</w:t>
      </w:r>
      <w:r>
        <w:rPr>
          <w:rFonts w:hint="eastAsia"/>
          <w:b w:val="0"/>
          <w:bCs w:val="0"/>
          <w:color w:val="000000"/>
          <w:sz w:val="24"/>
          <w:lang w:eastAsia="zh-CN"/>
        </w:rPr>
        <w:t>场地</w:t>
      </w:r>
      <w:r>
        <w:rPr>
          <w:rFonts w:hint="eastAsia"/>
          <w:b w:val="0"/>
          <w:bCs w:val="0"/>
          <w:color w:val="000000"/>
          <w:sz w:val="24"/>
        </w:rPr>
        <w:t>淋溶水收集处理后，除本矿生产用水外，多余部分全部送邻近选矿厂作选矿用水，不外排，因此，废水对地表水不产生污染影响。</w:t>
      </w:r>
    </w:p>
    <w:p>
      <w:pPr>
        <w:spacing w:line="360" w:lineRule="auto"/>
        <w:ind w:firstLine="480"/>
        <w:rPr>
          <w:rFonts w:hint="eastAsia"/>
          <w:b w:val="0"/>
          <w:bCs w:val="0"/>
          <w:color w:val="000000"/>
          <w:sz w:val="24"/>
        </w:rPr>
      </w:pPr>
      <w:r>
        <w:rPr>
          <w:rFonts w:hint="eastAsia"/>
          <w:b w:val="0"/>
          <w:bCs w:val="0"/>
          <w:color w:val="000000"/>
          <w:sz w:val="24"/>
          <w:lang w:eastAsia="zh-CN"/>
        </w:rPr>
        <w:t>（</w:t>
      </w:r>
      <w:r>
        <w:rPr>
          <w:rFonts w:hint="eastAsia"/>
          <w:b w:val="0"/>
          <w:bCs w:val="0"/>
          <w:color w:val="000000"/>
          <w:sz w:val="24"/>
          <w:lang w:val="en-US" w:eastAsia="zh-CN"/>
        </w:rPr>
        <w:t>3</w:t>
      </w:r>
      <w:r>
        <w:rPr>
          <w:rFonts w:hint="eastAsia"/>
          <w:b w:val="0"/>
          <w:bCs w:val="0"/>
          <w:color w:val="000000"/>
          <w:sz w:val="24"/>
          <w:lang w:eastAsia="zh-CN"/>
        </w:rPr>
        <w:t>）</w:t>
      </w:r>
      <w:r>
        <w:rPr>
          <w:rFonts w:hint="eastAsia"/>
          <w:b w:val="0"/>
          <w:bCs w:val="0"/>
          <w:color w:val="000000"/>
          <w:sz w:val="24"/>
        </w:rPr>
        <w:t>地下水环境影响评价结论</w:t>
      </w:r>
    </w:p>
    <w:p>
      <w:pPr>
        <w:spacing w:line="360" w:lineRule="auto"/>
        <w:ind w:firstLine="480"/>
        <w:rPr>
          <w:rFonts w:hint="eastAsia"/>
          <w:b w:val="0"/>
          <w:bCs w:val="0"/>
          <w:color w:val="000000"/>
          <w:sz w:val="24"/>
        </w:rPr>
      </w:pPr>
      <w:r>
        <w:rPr>
          <w:rFonts w:hint="eastAsia"/>
          <w:b w:val="0"/>
          <w:bCs w:val="0"/>
          <w:color w:val="000000"/>
          <w:sz w:val="24"/>
        </w:rPr>
        <w:t>本项目矿坑排水和</w:t>
      </w:r>
      <w:r>
        <w:rPr>
          <w:rFonts w:hint="eastAsia"/>
          <w:b w:val="0"/>
          <w:bCs w:val="0"/>
          <w:color w:val="000000"/>
          <w:sz w:val="24"/>
          <w:lang w:eastAsia="zh-CN"/>
        </w:rPr>
        <w:t>场地</w:t>
      </w:r>
      <w:r>
        <w:rPr>
          <w:rFonts w:hint="eastAsia"/>
          <w:b w:val="0"/>
          <w:bCs w:val="0"/>
          <w:color w:val="000000"/>
          <w:sz w:val="24"/>
        </w:rPr>
        <w:t>淋溶水全部利用，因此，矿坑排水和</w:t>
      </w:r>
      <w:r>
        <w:rPr>
          <w:rFonts w:hint="eastAsia"/>
          <w:b w:val="0"/>
          <w:bCs w:val="0"/>
          <w:color w:val="000000"/>
          <w:sz w:val="24"/>
          <w:lang w:eastAsia="zh-CN"/>
        </w:rPr>
        <w:t>场地</w:t>
      </w:r>
      <w:r>
        <w:rPr>
          <w:rFonts w:hint="eastAsia"/>
          <w:b w:val="0"/>
          <w:bCs w:val="0"/>
          <w:color w:val="000000"/>
          <w:sz w:val="24"/>
        </w:rPr>
        <w:t>淋溶水，不会对地下水产生污染影响。</w:t>
      </w:r>
    </w:p>
    <w:p>
      <w:pPr>
        <w:numPr>
          <w:ilvl w:val="-1"/>
          <w:numId w:val="0"/>
        </w:numPr>
        <w:spacing w:line="360" w:lineRule="auto"/>
        <w:ind w:left="480" w:firstLine="0"/>
        <w:rPr>
          <w:rFonts w:hint="eastAsia"/>
          <w:b w:val="0"/>
          <w:bCs w:val="0"/>
          <w:color w:val="000000"/>
          <w:sz w:val="24"/>
        </w:rPr>
      </w:pPr>
      <w:r>
        <w:rPr>
          <w:rFonts w:hint="eastAsia"/>
          <w:b w:val="0"/>
          <w:bCs w:val="0"/>
          <w:color w:val="000000"/>
          <w:sz w:val="24"/>
          <w:lang w:eastAsia="zh-CN"/>
        </w:rPr>
        <w:t>（</w:t>
      </w:r>
      <w:r>
        <w:rPr>
          <w:rFonts w:hint="eastAsia"/>
          <w:b w:val="0"/>
          <w:bCs w:val="0"/>
          <w:color w:val="000000"/>
          <w:sz w:val="24"/>
          <w:lang w:val="en-US" w:eastAsia="zh-CN"/>
        </w:rPr>
        <w:t>4</w:t>
      </w:r>
      <w:r>
        <w:rPr>
          <w:rFonts w:hint="eastAsia"/>
          <w:b w:val="0"/>
          <w:bCs w:val="0"/>
          <w:color w:val="000000"/>
          <w:sz w:val="24"/>
          <w:lang w:eastAsia="zh-CN"/>
        </w:rPr>
        <w:t>）</w:t>
      </w:r>
      <w:r>
        <w:rPr>
          <w:rFonts w:hint="eastAsia"/>
          <w:b w:val="0"/>
          <w:bCs w:val="0"/>
          <w:color w:val="000000"/>
          <w:sz w:val="24"/>
        </w:rPr>
        <w:t>声环境影响评价结论</w:t>
      </w:r>
    </w:p>
    <w:p>
      <w:pPr>
        <w:spacing w:line="360" w:lineRule="auto"/>
        <w:ind w:firstLine="480"/>
        <w:rPr>
          <w:rFonts w:hint="eastAsia"/>
          <w:b w:val="0"/>
          <w:bCs w:val="0"/>
          <w:color w:val="000000"/>
          <w:sz w:val="24"/>
        </w:rPr>
      </w:pPr>
      <w:r>
        <w:rPr>
          <w:b w:val="0"/>
          <w:bCs w:val="0"/>
          <w:color w:val="000000"/>
          <w:sz w:val="24"/>
        </w:rPr>
        <w:t>预测结果表明，</w:t>
      </w:r>
      <w:r>
        <w:rPr>
          <w:rFonts w:hint="eastAsia"/>
          <w:b w:val="0"/>
          <w:bCs w:val="0"/>
          <w:snapToGrid w:val="0"/>
          <w:color w:val="000000"/>
          <w:sz w:val="24"/>
        </w:rPr>
        <w:t>其设备噪声对厂界的噪声贡献值在11.5～32.8</w:t>
      </w:r>
      <w:r>
        <w:rPr>
          <w:b w:val="0"/>
          <w:bCs w:val="0"/>
          <w:snapToGrid w:val="0"/>
          <w:color w:val="000000"/>
          <w:sz w:val="24"/>
        </w:rPr>
        <w:t>dB(A)</w:t>
      </w:r>
      <w:r>
        <w:rPr>
          <w:rFonts w:hint="eastAsia"/>
          <w:b w:val="0"/>
          <w:bCs w:val="0"/>
          <w:snapToGrid w:val="0"/>
          <w:color w:val="000000"/>
          <w:sz w:val="24"/>
        </w:rPr>
        <w:t>，</w:t>
      </w:r>
      <w:r>
        <w:rPr>
          <w:b w:val="0"/>
          <w:bCs w:val="0"/>
          <w:snapToGrid w:val="0"/>
          <w:color w:val="000000"/>
          <w:sz w:val="24"/>
        </w:rPr>
        <w:t>满足《工业企业厂界噪声排放标准》（GB12348-2008）</w:t>
      </w:r>
      <w:r>
        <w:rPr>
          <w:rFonts w:hint="eastAsia"/>
          <w:b w:val="0"/>
          <w:bCs w:val="0"/>
          <w:snapToGrid w:val="0"/>
          <w:color w:val="000000"/>
          <w:sz w:val="24"/>
        </w:rPr>
        <w:t>1</w:t>
      </w:r>
      <w:r>
        <w:rPr>
          <w:b w:val="0"/>
          <w:bCs w:val="0"/>
          <w:snapToGrid w:val="0"/>
          <w:color w:val="000000"/>
          <w:sz w:val="24"/>
        </w:rPr>
        <w:t>类标准要求</w:t>
      </w:r>
      <w:r>
        <w:rPr>
          <w:rFonts w:hint="eastAsia"/>
          <w:b w:val="0"/>
          <w:bCs w:val="0"/>
          <w:snapToGrid w:val="0"/>
          <w:color w:val="000000"/>
          <w:sz w:val="24"/>
        </w:rPr>
        <w:t>，对区域声环境产生不会产生影响。</w:t>
      </w:r>
    </w:p>
    <w:p>
      <w:pPr>
        <w:numPr>
          <w:ilvl w:val="-1"/>
          <w:numId w:val="0"/>
        </w:numPr>
        <w:spacing w:line="360" w:lineRule="auto"/>
        <w:ind w:left="480" w:firstLine="0"/>
        <w:rPr>
          <w:rFonts w:hint="eastAsia"/>
          <w:b w:val="0"/>
          <w:bCs w:val="0"/>
          <w:color w:val="000000"/>
          <w:sz w:val="24"/>
        </w:rPr>
      </w:pPr>
      <w:r>
        <w:rPr>
          <w:rFonts w:hint="eastAsia"/>
          <w:b w:val="0"/>
          <w:bCs w:val="0"/>
          <w:color w:val="000000"/>
          <w:sz w:val="24"/>
          <w:lang w:eastAsia="zh-CN"/>
        </w:rPr>
        <w:t>（</w:t>
      </w:r>
      <w:r>
        <w:rPr>
          <w:rFonts w:hint="eastAsia"/>
          <w:b w:val="0"/>
          <w:bCs w:val="0"/>
          <w:color w:val="000000"/>
          <w:sz w:val="24"/>
          <w:lang w:val="en-US" w:eastAsia="zh-CN"/>
        </w:rPr>
        <w:t>5</w:t>
      </w:r>
      <w:r>
        <w:rPr>
          <w:rFonts w:hint="eastAsia"/>
          <w:b w:val="0"/>
          <w:bCs w:val="0"/>
          <w:color w:val="000000"/>
          <w:sz w:val="24"/>
          <w:lang w:eastAsia="zh-CN"/>
        </w:rPr>
        <w:t>）</w:t>
      </w:r>
      <w:r>
        <w:rPr>
          <w:b w:val="0"/>
          <w:bCs w:val="0"/>
          <w:color w:val="000000"/>
          <w:sz w:val="24"/>
        </w:rPr>
        <w:t>固体废物环境影响</w:t>
      </w:r>
      <w:r>
        <w:rPr>
          <w:rFonts w:hint="eastAsia"/>
          <w:b w:val="0"/>
          <w:bCs w:val="0"/>
          <w:color w:val="000000"/>
          <w:sz w:val="24"/>
        </w:rPr>
        <w:t>评价结论</w:t>
      </w:r>
    </w:p>
    <w:p>
      <w:pPr>
        <w:spacing w:line="360" w:lineRule="auto"/>
        <w:ind w:firstLine="480" w:firstLineChars="200"/>
        <w:rPr>
          <w:rFonts w:hint="eastAsia"/>
          <w:b w:val="0"/>
          <w:bCs w:val="0"/>
          <w:color w:val="000000"/>
          <w:sz w:val="24"/>
        </w:rPr>
      </w:pPr>
      <w:r>
        <w:rPr>
          <w:rFonts w:hint="eastAsia"/>
          <w:b w:val="0"/>
          <w:bCs w:val="0"/>
          <w:color w:val="000000"/>
          <w:sz w:val="24"/>
        </w:rPr>
        <w:t>本项目井下开采产生的废石全部不出井回填采空区，对环境不产生影响。</w:t>
      </w:r>
    </w:p>
    <w:p>
      <w:pPr>
        <w:spacing w:line="360" w:lineRule="auto"/>
        <w:ind w:firstLine="480" w:firstLineChars="200"/>
        <w:rPr>
          <w:rFonts w:hint="eastAsia"/>
          <w:b w:val="0"/>
          <w:bCs w:val="0"/>
          <w:color w:val="000000"/>
          <w:sz w:val="24"/>
        </w:rPr>
      </w:pPr>
      <w:r>
        <w:rPr>
          <w:rFonts w:hint="eastAsia"/>
          <w:b w:val="0"/>
          <w:bCs w:val="0"/>
          <w:color w:val="000000"/>
          <w:sz w:val="24"/>
        </w:rPr>
        <w:t>该矿生活垃圾集中收集，及时送当地环卫部门处置，对外界环境就不会造成明显的不利影响。</w:t>
      </w:r>
    </w:p>
    <w:p>
      <w:pPr>
        <w:spacing w:line="360" w:lineRule="auto"/>
        <w:ind w:firstLine="480"/>
        <w:rPr>
          <w:rFonts w:hint="eastAsia"/>
          <w:b w:val="0"/>
          <w:bCs w:val="0"/>
          <w:color w:val="000000"/>
          <w:sz w:val="24"/>
        </w:rPr>
      </w:pPr>
      <w:r>
        <w:rPr>
          <w:rFonts w:hint="eastAsia"/>
          <w:b w:val="0"/>
          <w:bCs w:val="0"/>
          <w:color w:val="000000"/>
          <w:sz w:val="24"/>
          <w:lang w:eastAsia="zh-CN"/>
        </w:rPr>
        <w:t>（</w:t>
      </w:r>
      <w:r>
        <w:rPr>
          <w:rFonts w:hint="eastAsia"/>
          <w:b w:val="0"/>
          <w:bCs w:val="0"/>
          <w:color w:val="000000"/>
          <w:sz w:val="24"/>
          <w:lang w:val="en-US" w:eastAsia="zh-CN"/>
        </w:rPr>
        <w:t>6</w:t>
      </w:r>
      <w:r>
        <w:rPr>
          <w:rFonts w:hint="eastAsia"/>
          <w:b w:val="0"/>
          <w:bCs w:val="0"/>
          <w:color w:val="000000"/>
          <w:sz w:val="24"/>
          <w:lang w:eastAsia="zh-CN"/>
        </w:rPr>
        <w:t>）</w:t>
      </w:r>
      <w:r>
        <w:rPr>
          <w:rFonts w:hint="eastAsia"/>
          <w:b w:val="0"/>
          <w:bCs w:val="0"/>
          <w:color w:val="000000"/>
          <w:sz w:val="24"/>
        </w:rPr>
        <w:t>生态环境影响评价结论</w:t>
      </w:r>
    </w:p>
    <w:p>
      <w:pPr>
        <w:spacing w:line="360" w:lineRule="auto"/>
        <w:ind w:firstLine="480"/>
        <w:rPr>
          <w:rFonts w:hint="eastAsia"/>
          <w:b w:val="0"/>
          <w:bCs w:val="0"/>
          <w:color w:val="000000"/>
          <w:sz w:val="24"/>
        </w:rPr>
      </w:pPr>
      <w:r>
        <w:rPr>
          <w:rFonts w:hint="eastAsia"/>
          <w:b w:val="0"/>
          <w:bCs w:val="0"/>
          <w:color w:val="000000"/>
          <w:sz w:val="24"/>
        </w:rPr>
        <w:t>①景观生态体系影响分析</w:t>
      </w:r>
    </w:p>
    <w:p>
      <w:pPr>
        <w:spacing w:line="360" w:lineRule="auto"/>
        <w:ind w:firstLine="480"/>
        <w:rPr>
          <w:rFonts w:hint="eastAsia" w:hAnsi="宋体"/>
          <w:b w:val="0"/>
          <w:bCs w:val="0"/>
          <w:color w:val="000000"/>
          <w:sz w:val="24"/>
        </w:rPr>
      </w:pPr>
      <w:r>
        <w:rPr>
          <w:rFonts w:hint="eastAsia" w:hAnsi="宋体"/>
          <w:b w:val="0"/>
          <w:bCs w:val="0"/>
          <w:color w:val="000000"/>
          <w:sz w:val="24"/>
        </w:rPr>
        <w:t>通过分析知，</w:t>
      </w:r>
      <w:r>
        <w:rPr>
          <w:rFonts w:hAnsi="宋体"/>
          <w:b w:val="0"/>
          <w:bCs w:val="0"/>
          <w:color w:val="000000"/>
          <w:sz w:val="24"/>
        </w:rPr>
        <w:t>工程</w:t>
      </w:r>
      <w:r>
        <w:rPr>
          <w:rFonts w:hint="eastAsia" w:hAnsi="宋体"/>
          <w:b w:val="0"/>
          <w:bCs w:val="0"/>
          <w:color w:val="000000"/>
          <w:sz w:val="24"/>
        </w:rPr>
        <w:t>项目</w:t>
      </w:r>
      <w:r>
        <w:rPr>
          <w:rFonts w:hAnsi="宋体"/>
          <w:b w:val="0"/>
          <w:bCs w:val="0"/>
          <w:color w:val="000000"/>
          <w:sz w:val="24"/>
        </w:rPr>
        <w:t>实施运营后，废石堆场、矿区道路的构筑物拼块优势度将继续上升，灌丛、疏林地优势度进一步下降，项目建设将加剧矿区景观生态环境质量下降趋势</w:t>
      </w:r>
      <w:r>
        <w:rPr>
          <w:rFonts w:hint="eastAsia" w:hAnsi="宋体"/>
          <w:b w:val="0"/>
          <w:bCs w:val="0"/>
          <w:color w:val="000000"/>
          <w:sz w:val="24"/>
        </w:rPr>
        <w:t>，但不明显</w:t>
      </w:r>
      <w:r>
        <w:rPr>
          <w:rFonts w:hAnsi="宋体"/>
          <w:b w:val="0"/>
          <w:bCs w:val="0"/>
          <w:color w:val="000000"/>
          <w:sz w:val="24"/>
        </w:rPr>
        <w:t>。</w:t>
      </w:r>
    </w:p>
    <w:p>
      <w:pPr>
        <w:spacing w:line="360" w:lineRule="auto"/>
        <w:ind w:firstLine="480"/>
        <w:rPr>
          <w:rFonts w:hint="eastAsia"/>
          <w:b w:val="0"/>
          <w:bCs w:val="0"/>
          <w:color w:val="000000"/>
          <w:sz w:val="24"/>
        </w:rPr>
      </w:pPr>
      <w:r>
        <w:rPr>
          <w:rFonts w:hint="eastAsia"/>
          <w:b w:val="0"/>
          <w:bCs w:val="0"/>
          <w:color w:val="000000"/>
          <w:sz w:val="24"/>
        </w:rPr>
        <w:t>②土地利用变化分析</w:t>
      </w:r>
    </w:p>
    <w:p>
      <w:pPr>
        <w:keepNext w:val="0"/>
        <w:keepLines w:val="0"/>
        <w:tabs>
          <w:tab w:val="left" w:pos="5940"/>
        </w:tabs>
        <w:spacing w:line="360" w:lineRule="auto"/>
        <w:ind w:firstLine="480" w:firstLineChars="200"/>
        <w:outlineLvl w:val="9"/>
        <w:rPr>
          <w:rFonts w:hint="eastAsia" w:hAnsi="宋体"/>
          <w:b w:val="0"/>
          <w:bCs w:val="0"/>
          <w:color w:val="000000"/>
          <w:sz w:val="24"/>
        </w:rPr>
      </w:pPr>
      <w:r>
        <w:rPr>
          <w:rFonts w:hint="eastAsia"/>
          <w:b w:val="0"/>
          <w:bCs w:val="0"/>
          <w:color w:val="000000"/>
          <w:sz w:val="24"/>
        </w:rPr>
        <w:t>本</w:t>
      </w:r>
      <w:r>
        <w:rPr>
          <w:rFonts w:hAnsi="宋体"/>
          <w:b w:val="0"/>
          <w:bCs w:val="0"/>
          <w:color w:val="000000"/>
          <w:sz w:val="24"/>
        </w:rPr>
        <w:t>工程</w:t>
      </w:r>
      <w:r>
        <w:rPr>
          <w:rFonts w:hint="eastAsia" w:hAnsi="宋体"/>
          <w:b w:val="0"/>
          <w:bCs w:val="0"/>
          <w:color w:val="000000"/>
          <w:sz w:val="24"/>
        </w:rPr>
        <w:t>对生态环境的影响主要是</w:t>
      </w:r>
      <w:r>
        <w:rPr>
          <w:rFonts w:hAnsi="宋体"/>
          <w:b w:val="0"/>
          <w:bCs w:val="0"/>
          <w:color w:val="000000"/>
          <w:sz w:val="24"/>
        </w:rPr>
        <w:t>运矿道路、废石场、采矿工业场地</w:t>
      </w:r>
      <w:r>
        <w:rPr>
          <w:rFonts w:hint="eastAsia" w:hAnsi="宋体"/>
          <w:b w:val="0"/>
          <w:bCs w:val="0"/>
          <w:color w:val="000000"/>
          <w:sz w:val="24"/>
        </w:rPr>
        <w:t>和</w:t>
      </w:r>
      <w:r>
        <w:rPr>
          <w:rFonts w:hAnsi="宋体"/>
          <w:b w:val="0"/>
          <w:bCs w:val="0"/>
          <w:color w:val="000000"/>
          <w:sz w:val="24"/>
        </w:rPr>
        <w:t>辅助设施</w:t>
      </w:r>
      <w:r>
        <w:rPr>
          <w:rFonts w:hint="eastAsia" w:hAnsi="宋体"/>
          <w:b w:val="0"/>
          <w:bCs w:val="0"/>
          <w:color w:val="000000"/>
          <w:sz w:val="24"/>
        </w:rPr>
        <w:t>以及风井场地，由于项目占地面积小，且全部为林地，对</w:t>
      </w:r>
      <w:r>
        <w:rPr>
          <w:rFonts w:hAnsi="宋体"/>
          <w:b w:val="0"/>
          <w:bCs w:val="0"/>
          <w:color w:val="000000"/>
          <w:sz w:val="24"/>
        </w:rPr>
        <w:t>矿区</w:t>
      </w:r>
      <w:r>
        <w:rPr>
          <w:rFonts w:hint="eastAsia" w:hAnsi="宋体"/>
          <w:b w:val="0"/>
          <w:bCs w:val="0"/>
          <w:color w:val="000000"/>
          <w:sz w:val="24"/>
        </w:rPr>
        <w:t>原有</w:t>
      </w:r>
      <w:r>
        <w:rPr>
          <w:rFonts w:hAnsi="宋体"/>
          <w:b w:val="0"/>
          <w:bCs w:val="0"/>
          <w:color w:val="000000"/>
          <w:sz w:val="24"/>
        </w:rPr>
        <w:t>土地功能</w:t>
      </w:r>
      <w:r>
        <w:rPr>
          <w:rFonts w:hint="eastAsia" w:hAnsi="宋体"/>
          <w:b w:val="0"/>
          <w:bCs w:val="0"/>
          <w:color w:val="000000"/>
          <w:sz w:val="24"/>
        </w:rPr>
        <w:t>、</w:t>
      </w:r>
      <w:r>
        <w:rPr>
          <w:rFonts w:hAnsi="宋体"/>
          <w:b w:val="0"/>
          <w:bCs w:val="0"/>
          <w:color w:val="000000"/>
          <w:sz w:val="24"/>
        </w:rPr>
        <w:t>土地利用类型和土地利用结构</w:t>
      </w:r>
      <w:r>
        <w:rPr>
          <w:rFonts w:hint="eastAsia" w:hAnsi="宋体"/>
          <w:b w:val="0"/>
          <w:bCs w:val="0"/>
          <w:color w:val="000000"/>
          <w:sz w:val="24"/>
        </w:rPr>
        <w:t>影响很小</w:t>
      </w:r>
      <w:r>
        <w:rPr>
          <w:rFonts w:hAnsi="宋体"/>
          <w:b w:val="0"/>
          <w:bCs w:val="0"/>
          <w:color w:val="000000"/>
          <w:sz w:val="24"/>
        </w:rPr>
        <w:t>。</w:t>
      </w:r>
      <w:r>
        <w:rPr>
          <w:rFonts w:hint="eastAsia" w:hAnsi="宋体"/>
          <w:b w:val="0"/>
          <w:bCs w:val="0"/>
          <w:color w:val="000000"/>
          <w:sz w:val="24"/>
        </w:rPr>
        <w:t>由于矿山服务年限短，服务期满后，对矿山占用的土地进行整理，完全可以恢复到林业用地的状态。</w:t>
      </w:r>
      <w:bookmarkStart w:id="200" w:name="_Toc296763858"/>
    </w:p>
    <w:p>
      <w:pPr>
        <w:keepNext w:val="0"/>
        <w:keepLines w:val="0"/>
        <w:tabs>
          <w:tab w:val="left" w:pos="5940"/>
        </w:tabs>
        <w:spacing w:line="360" w:lineRule="auto"/>
        <w:ind w:firstLine="480" w:firstLineChars="200"/>
        <w:outlineLvl w:val="9"/>
        <w:rPr>
          <w:rFonts w:hint="eastAsia"/>
          <w:b w:val="0"/>
          <w:bCs w:val="0"/>
          <w:color w:val="000000"/>
          <w:sz w:val="24"/>
        </w:rPr>
      </w:pPr>
      <w:r>
        <w:rPr>
          <w:rFonts w:hint="eastAsia"/>
          <w:b w:val="0"/>
          <w:bCs w:val="0"/>
          <w:color w:val="000000"/>
          <w:sz w:val="24"/>
        </w:rPr>
        <w:t>环境污染防治对策及生态恢复措施</w:t>
      </w:r>
      <w:bookmarkEnd w:id="200"/>
    </w:p>
    <w:p>
      <w:pPr>
        <w:spacing w:line="360" w:lineRule="auto"/>
        <w:ind w:firstLine="480" w:firstLineChars="200"/>
        <w:rPr>
          <w:rFonts w:hint="eastAsia"/>
          <w:b w:val="0"/>
          <w:bCs w:val="0"/>
          <w:snapToGrid w:val="0"/>
          <w:color w:val="000000"/>
          <w:kern w:val="0"/>
          <w:sz w:val="24"/>
        </w:rPr>
      </w:pPr>
      <w:r>
        <w:rPr>
          <w:rFonts w:hint="eastAsia"/>
          <w:b w:val="0"/>
          <w:bCs w:val="0"/>
          <w:snapToGrid w:val="0"/>
          <w:color w:val="000000"/>
          <w:kern w:val="0"/>
          <w:sz w:val="24"/>
        </w:rPr>
        <w:t>大气污染防治对策</w:t>
      </w:r>
    </w:p>
    <w:p>
      <w:pPr>
        <w:spacing w:line="360" w:lineRule="auto"/>
        <w:ind w:firstLine="482"/>
        <w:rPr>
          <w:rFonts w:hint="eastAsia"/>
          <w:b w:val="0"/>
          <w:bCs w:val="0"/>
          <w:color w:val="000000"/>
          <w:sz w:val="24"/>
        </w:rPr>
      </w:pPr>
      <w:r>
        <w:rPr>
          <w:rFonts w:hint="eastAsia"/>
          <w:b w:val="0"/>
          <w:bCs w:val="0"/>
          <w:color w:val="000000"/>
          <w:sz w:val="24"/>
          <w:lang w:eastAsia="zh-CN"/>
        </w:rPr>
        <w:t>（</w:t>
      </w:r>
      <w:r>
        <w:rPr>
          <w:rFonts w:hint="eastAsia"/>
          <w:b w:val="0"/>
          <w:bCs w:val="0"/>
          <w:color w:val="000000"/>
          <w:sz w:val="24"/>
          <w:lang w:val="en-US" w:eastAsia="zh-CN"/>
        </w:rPr>
        <w:t>1</w:t>
      </w:r>
      <w:r>
        <w:rPr>
          <w:rFonts w:hint="eastAsia"/>
          <w:b w:val="0"/>
          <w:bCs w:val="0"/>
          <w:color w:val="000000"/>
          <w:sz w:val="24"/>
          <w:lang w:eastAsia="zh-CN"/>
        </w:rPr>
        <w:t>）</w:t>
      </w:r>
      <w:r>
        <w:rPr>
          <w:rFonts w:hint="eastAsia"/>
          <w:b w:val="0"/>
          <w:bCs w:val="0"/>
          <w:color w:val="000000"/>
          <w:sz w:val="24"/>
        </w:rPr>
        <w:t>井下采掘粉尘</w:t>
      </w:r>
    </w:p>
    <w:p>
      <w:pPr>
        <w:keepNext w:val="0"/>
        <w:keepLines w:val="0"/>
        <w:pageBreakBefore w:val="0"/>
        <w:widowControl w:val="0"/>
        <w:tabs>
          <w:tab w:val="left" w:pos="5940"/>
        </w:tabs>
        <w:kinsoku/>
        <w:wordWrap/>
        <w:overflowPunct/>
        <w:topLinePunct w:val="0"/>
        <w:autoSpaceDE/>
        <w:autoSpaceDN/>
        <w:bidi w:val="0"/>
        <w:adjustRightInd/>
        <w:snapToGrid/>
        <w:spacing w:line="360" w:lineRule="auto"/>
        <w:ind w:firstLine="480" w:firstLineChars="200"/>
        <w:textAlignment w:val="auto"/>
        <w:outlineLvl w:val="9"/>
        <w:rPr>
          <w:b w:val="0"/>
          <w:bCs w:val="0"/>
          <w:color w:val="000000"/>
          <w:sz w:val="24"/>
        </w:rPr>
      </w:pPr>
      <w:r>
        <w:rPr>
          <w:rFonts w:hAnsi="宋体"/>
          <w:b w:val="0"/>
          <w:bCs w:val="0"/>
          <w:color w:val="000000"/>
          <w:sz w:val="24"/>
        </w:rPr>
        <w:t>坑内掘进与回采作业均采取湿式凿岩、爆堆喷雾洒水、产生粉尘的各作业点安装喷雾洒水装置抑尘。矿井主要入风井巷定期清洗岩壁，防止二次扬尘污染新风。矿井个别产尘点、进风和回风井巷按规定进行粉尘浓度监测，以便采取综合防尘措施，确保作业粉尘浓度达到工业卫生标准。</w:t>
      </w:r>
    </w:p>
    <w:p>
      <w:pPr>
        <w:tabs>
          <w:tab w:val="left" w:pos="5940"/>
        </w:tabs>
        <w:spacing w:line="360" w:lineRule="auto"/>
        <w:ind w:firstLine="480" w:firstLineChars="200"/>
        <w:rPr>
          <w:b w:val="0"/>
          <w:bCs w:val="0"/>
          <w:color w:val="000000"/>
          <w:sz w:val="24"/>
        </w:rPr>
      </w:pPr>
      <w:r>
        <w:rPr>
          <w:rFonts w:hAnsi="宋体"/>
          <w:b w:val="0"/>
          <w:bCs w:val="0"/>
          <w:color w:val="000000"/>
          <w:sz w:val="24"/>
        </w:rPr>
        <w:t>通风井口外排污风时，地下开采过程中产生的粉尘、爆破产生的炮烟等便随井下污风一同排出井口，类比同类矿山通风排尘的监测结果，井口排出粉尘浓度在</w:t>
      </w:r>
      <w:r>
        <w:rPr>
          <w:rFonts w:hint="eastAsia"/>
          <w:b w:val="0"/>
          <w:bCs w:val="0"/>
          <w:color w:val="000000"/>
          <w:sz w:val="24"/>
        </w:rPr>
        <w:t>2</w:t>
      </w:r>
      <w:r>
        <w:rPr>
          <w:b w:val="0"/>
          <w:bCs w:val="0"/>
          <w:color w:val="000000"/>
          <w:sz w:val="24"/>
        </w:rPr>
        <w:t>mg/m</w:t>
      </w:r>
      <w:r>
        <w:rPr>
          <w:b w:val="0"/>
          <w:bCs w:val="0"/>
          <w:color w:val="000000"/>
          <w:sz w:val="24"/>
          <w:vertAlign w:val="superscript"/>
        </w:rPr>
        <w:t>3</w:t>
      </w:r>
      <w:r>
        <w:rPr>
          <w:rFonts w:hint="eastAsia" w:hAnsi="宋体"/>
          <w:b w:val="0"/>
          <w:bCs w:val="0"/>
          <w:color w:val="000000"/>
          <w:sz w:val="24"/>
        </w:rPr>
        <w:t>左右</w:t>
      </w:r>
      <w:r>
        <w:rPr>
          <w:rFonts w:hAnsi="宋体"/>
          <w:b w:val="0"/>
          <w:bCs w:val="0"/>
          <w:color w:val="000000"/>
          <w:sz w:val="24"/>
        </w:rPr>
        <w:t>，符合</w:t>
      </w:r>
      <w:r>
        <w:rPr>
          <w:b w:val="0"/>
          <w:bCs w:val="0"/>
          <w:snapToGrid w:val="0"/>
          <w:color w:val="000000"/>
          <w:sz w:val="24"/>
        </w:rPr>
        <w:t>《</w:t>
      </w:r>
      <w:r>
        <w:rPr>
          <w:rFonts w:hint="eastAsia"/>
          <w:b w:val="0"/>
          <w:bCs w:val="0"/>
          <w:snapToGrid w:val="0"/>
          <w:color w:val="000000"/>
          <w:sz w:val="24"/>
        </w:rPr>
        <w:t>铅、锌工业污染物排放标准</w:t>
      </w:r>
      <w:r>
        <w:rPr>
          <w:b w:val="0"/>
          <w:bCs w:val="0"/>
          <w:snapToGrid w:val="0"/>
          <w:color w:val="000000"/>
          <w:sz w:val="24"/>
        </w:rPr>
        <w:t>》（GB</w:t>
      </w:r>
      <w:r>
        <w:rPr>
          <w:rFonts w:hint="eastAsia"/>
          <w:b w:val="0"/>
          <w:bCs w:val="0"/>
          <w:snapToGrid w:val="0"/>
          <w:color w:val="000000"/>
          <w:sz w:val="24"/>
        </w:rPr>
        <w:t>25466</w:t>
      </w:r>
      <w:r>
        <w:rPr>
          <w:b w:val="0"/>
          <w:bCs w:val="0"/>
          <w:snapToGrid w:val="0"/>
          <w:color w:val="000000"/>
          <w:sz w:val="24"/>
        </w:rPr>
        <w:t>－</w:t>
      </w:r>
      <w:r>
        <w:rPr>
          <w:rFonts w:hint="eastAsia"/>
          <w:b w:val="0"/>
          <w:bCs w:val="0"/>
          <w:snapToGrid w:val="0"/>
          <w:color w:val="000000"/>
          <w:sz w:val="24"/>
        </w:rPr>
        <w:t>2010</w:t>
      </w:r>
      <w:r>
        <w:rPr>
          <w:b w:val="0"/>
          <w:bCs w:val="0"/>
          <w:snapToGrid w:val="0"/>
          <w:color w:val="000000"/>
          <w:sz w:val="24"/>
        </w:rPr>
        <w:t>）</w:t>
      </w:r>
      <w:r>
        <w:rPr>
          <w:rFonts w:hint="eastAsia"/>
          <w:b w:val="0"/>
          <w:bCs w:val="0"/>
          <w:snapToGrid w:val="0"/>
          <w:color w:val="000000"/>
          <w:sz w:val="24"/>
        </w:rPr>
        <w:t>表5</w:t>
      </w:r>
      <w:r>
        <w:rPr>
          <w:b w:val="0"/>
          <w:bCs w:val="0"/>
          <w:snapToGrid w:val="0"/>
          <w:color w:val="000000"/>
          <w:sz w:val="24"/>
        </w:rPr>
        <w:t>标</w:t>
      </w:r>
      <w:r>
        <w:rPr>
          <w:rFonts w:hint="eastAsia"/>
          <w:b w:val="0"/>
          <w:bCs w:val="0"/>
          <w:snapToGrid w:val="0"/>
          <w:color w:val="000000"/>
          <w:sz w:val="24"/>
        </w:rPr>
        <w:t>准要求（</w:t>
      </w:r>
      <w:r>
        <w:rPr>
          <w:rFonts w:hint="eastAsia"/>
          <w:b w:val="0"/>
          <w:bCs w:val="0"/>
          <w:color w:val="000000"/>
          <w:sz w:val="24"/>
        </w:rPr>
        <w:t>80mg/m</w:t>
      </w:r>
      <w:r>
        <w:rPr>
          <w:rFonts w:hint="eastAsia"/>
          <w:b w:val="0"/>
          <w:bCs w:val="0"/>
          <w:color w:val="000000"/>
          <w:sz w:val="24"/>
          <w:vertAlign w:val="superscript"/>
        </w:rPr>
        <w:t>3</w:t>
      </w:r>
      <w:r>
        <w:rPr>
          <w:rFonts w:hint="eastAsia"/>
          <w:b w:val="0"/>
          <w:bCs w:val="0"/>
          <w:snapToGrid w:val="0"/>
          <w:color w:val="000000"/>
          <w:sz w:val="24"/>
        </w:rPr>
        <w:t>），</w:t>
      </w:r>
      <w:r>
        <w:rPr>
          <w:b w:val="0"/>
          <w:bCs w:val="0"/>
          <w:color w:val="000000"/>
          <w:sz w:val="24"/>
        </w:rPr>
        <w:t>CO</w:t>
      </w:r>
      <w:r>
        <w:rPr>
          <w:rFonts w:hAnsi="宋体"/>
          <w:b w:val="0"/>
          <w:bCs w:val="0"/>
          <w:color w:val="000000"/>
          <w:sz w:val="24"/>
        </w:rPr>
        <w:t>、</w:t>
      </w:r>
      <w:r>
        <w:rPr>
          <w:b w:val="0"/>
          <w:bCs w:val="0"/>
          <w:color w:val="000000"/>
          <w:sz w:val="24"/>
        </w:rPr>
        <w:t>NO</w:t>
      </w:r>
      <w:r>
        <w:rPr>
          <w:b w:val="0"/>
          <w:bCs w:val="0"/>
          <w:color w:val="000000"/>
          <w:sz w:val="24"/>
          <w:vertAlign w:val="subscript"/>
        </w:rPr>
        <w:t>2</w:t>
      </w:r>
      <w:r>
        <w:rPr>
          <w:rFonts w:hAnsi="宋体"/>
          <w:b w:val="0"/>
          <w:bCs w:val="0"/>
          <w:color w:val="000000"/>
          <w:sz w:val="24"/>
        </w:rPr>
        <w:t>等浓度也较低，排放量小，均符合国家规定的排放标准。</w:t>
      </w:r>
    </w:p>
    <w:p>
      <w:pPr>
        <w:spacing w:line="360" w:lineRule="auto"/>
        <w:ind w:firstLine="482"/>
        <w:rPr>
          <w:rFonts w:hint="eastAsia"/>
          <w:b w:val="0"/>
          <w:bCs w:val="0"/>
          <w:color w:val="000000"/>
          <w:sz w:val="24"/>
        </w:rPr>
      </w:pPr>
      <w:r>
        <w:rPr>
          <w:rFonts w:hint="eastAsia"/>
          <w:b w:val="0"/>
          <w:bCs w:val="0"/>
          <w:color w:val="000000"/>
          <w:sz w:val="24"/>
          <w:lang w:eastAsia="zh-CN"/>
        </w:rPr>
        <w:t>（</w:t>
      </w:r>
      <w:r>
        <w:rPr>
          <w:rFonts w:hint="eastAsia"/>
          <w:b w:val="0"/>
          <w:bCs w:val="0"/>
          <w:color w:val="000000"/>
          <w:sz w:val="24"/>
          <w:lang w:val="en-US" w:eastAsia="zh-CN"/>
        </w:rPr>
        <w:t>2</w:t>
      </w:r>
      <w:r>
        <w:rPr>
          <w:rFonts w:hint="eastAsia"/>
          <w:b w:val="0"/>
          <w:bCs w:val="0"/>
          <w:color w:val="000000"/>
          <w:sz w:val="24"/>
          <w:lang w:eastAsia="zh-CN"/>
        </w:rPr>
        <w:t>）</w:t>
      </w:r>
      <w:r>
        <w:rPr>
          <w:rFonts w:hint="eastAsia"/>
          <w:b w:val="0"/>
          <w:bCs w:val="0"/>
          <w:color w:val="000000"/>
          <w:sz w:val="24"/>
        </w:rPr>
        <w:t>废（矿）石堆场扬尘</w:t>
      </w:r>
    </w:p>
    <w:p>
      <w:pPr>
        <w:spacing w:line="360" w:lineRule="auto"/>
        <w:ind w:firstLine="480"/>
        <w:rPr>
          <w:b w:val="0"/>
          <w:bCs w:val="0"/>
          <w:color w:val="000000"/>
          <w:sz w:val="24"/>
        </w:rPr>
      </w:pPr>
      <w:r>
        <w:rPr>
          <w:rFonts w:hint="eastAsia"/>
          <w:b w:val="0"/>
          <w:bCs w:val="0"/>
          <w:color w:val="000000"/>
          <w:sz w:val="24"/>
        </w:rPr>
        <w:t>在废（矿）石堆场及干坡段采取喷淋洒水等降尘措施后，无论在一般风速（年平均风速2.5m/s）和大风（6.0m/s）条件下，其起尘量均较小，对周围环境影响较小。</w:t>
      </w:r>
    </w:p>
    <w:p>
      <w:pPr>
        <w:spacing w:line="360" w:lineRule="auto"/>
        <w:ind w:firstLine="482"/>
        <w:rPr>
          <w:rFonts w:hint="eastAsia"/>
          <w:b w:val="0"/>
          <w:bCs w:val="0"/>
          <w:color w:val="000000"/>
          <w:sz w:val="24"/>
        </w:rPr>
      </w:pPr>
      <w:r>
        <w:rPr>
          <w:rFonts w:hint="eastAsia"/>
          <w:b w:val="0"/>
          <w:bCs w:val="0"/>
          <w:color w:val="000000"/>
          <w:sz w:val="24"/>
          <w:lang w:eastAsia="zh-CN"/>
        </w:rPr>
        <w:t>（</w:t>
      </w:r>
      <w:r>
        <w:rPr>
          <w:rFonts w:hint="eastAsia"/>
          <w:b w:val="0"/>
          <w:bCs w:val="0"/>
          <w:color w:val="000000"/>
          <w:sz w:val="24"/>
          <w:lang w:val="en-US" w:eastAsia="zh-CN"/>
        </w:rPr>
        <w:t>3</w:t>
      </w:r>
      <w:r>
        <w:rPr>
          <w:rFonts w:hint="eastAsia"/>
          <w:b w:val="0"/>
          <w:bCs w:val="0"/>
          <w:color w:val="000000"/>
          <w:sz w:val="24"/>
          <w:lang w:eastAsia="zh-CN"/>
        </w:rPr>
        <w:t>）</w:t>
      </w:r>
      <w:r>
        <w:rPr>
          <w:rFonts w:hint="eastAsia"/>
          <w:b w:val="0"/>
          <w:bCs w:val="0"/>
          <w:color w:val="000000"/>
          <w:sz w:val="24"/>
        </w:rPr>
        <w:t>运输扬尘</w:t>
      </w:r>
    </w:p>
    <w:p>
      <w:pPr>
        <w:spacing w:line="360" w:lineRule="auto"/>
        <w:ind w:firstLine="480"/>
        <w:rPr>
          <w:b w:val="0"/>
          <w:bCs w:val="0"/>
          <w:snapToGrid w:val="0"/>
          <w:color w:val="000000"/>
          <w:kern w:val="0"/>
          <w:sz w:val="24"/>
        </w:rPr>
      </w:pPr>
      <w:r>
        <w:rPr>
          <w:b w:val="0"/>
          <w:bCs w:val="0"/>
          <w:color w:val="000000"/>
          <w:sz w:val="24"/>
        </w:rPr>
        <w:t>道路运输二次扬尘的防治措施主要有：加强道路养护；定期洒水或扬尘抑制剂；道路两侧绿化；限制车速等。</w:t>
      </w:r>
    </w:p>
    <w:p>
      <w:pPr>
        <w:spacing w:line="360" w:lineRule="auto"/>
        <w:ind w:firstLine="480" w:firstLineChars="200"/>
        <w:rPr>
          <w:rFonts w:hint="eastAsia"/>
          <w:b w:val="0"/>
          <w:bCs w:val="0"/>
          <w:snapToGrid w:val="0"/>
          <w:color w:val="000000"/>
          <w:kern w:val="0"/>
          <w:sz w:val="24"/>
        </w:rPr>
      </w:pPr>
      <w:r>
        <w:rPr>
          <w:rFonts w:hint="eastAsia"/>
          <w:b w:val="0"/>
          <w:bCs w:val="0"/>
          <w:snapToGrid w:val="0"/>
          <w:color w:val="000000"/>
          <w:kern w:val="0"/>
          <w:sz w:val="24"/>
        </w:rPr>
        <w:t>水污染防治措施</w:t>
      </w:r>
    </w:p>
    <w:p>
      <w:pPr>
        <w:spacing w:line="360" w:lineRule="auto"/>
        <w:ind w:firstLine="480"/>
        <w:rPr>
          <w:rFonts w:hint="eastAsia"/>
          <w:b w:val="0"/>
          <w:bCs w:val="0"/>
          <w:color w:val="000000"/>
          <w:sz w:val="24"/>
        </w:rPr>
      </w:pPr>
      <w:r>
        <w:rPr>
          <w:rFonts w:hint="eastAsia"/>
          <w:b w:val="0"/>
          <w:bCs w:val="0"/>
          <w:color w:val="000000"/>
          <w:sz w:val="24"/>
        </w:rPr>
        <w:t>矿坑涌水及废石场淋溶水等废水经矿区废水，通过收集沉淀池沉淀后，除部分用于矿井生产用水外，多余部分，全部送本项目东北约500m的</w:t>
      </w:r>
      <w:r>
        <w:rPr>
          <w:rFonts w:hint="eastAsia" w:ascii="宋体" w:hAnsi="宋体"/>
          <w:b w:val="0"/>
          <w:bCs w:val="0"/>
          <w:color w:val="000000"/>
          <w:sz w:val="24"/>
        </w:rPr>
        <w:t>世源矿业发展有限公司选矿厂用作选矿补充水，不得外排，通过废水综合利用可实现废水零排放。</w:t>
      </w:r>
    </w:p>
    <w:p>
      <w:pPr>
        <w:spacing w:line="360" w:lineRule="auto"/>
        <w:ind w:firstLine="480"/>
        <w:rPr>
          <w:rFonts w:hint="eastAsia"/>
          <w:b w:val="0"/>
          <w:bCs w:val="0"/>
          <w:color w:val="000000"/>
          <w:sz w:val="24"/>
        </w:rPr>
      </w:pPr>
      <w:r>
        <w:rPr>
          <w:rFonts w:hint="eastAsia"/>
          <w:b w:val="0"/>
          <w:bCs w:val="0"/>
          <w:color w:val="000000"/>
          <w:sz w:val="24"/>
        </w:rPr>
        <w:t>生活污水：产生量较少，经旱厕集中收集处理后，用于矿区山林洒水，不外排。</w:t>
      </w:r>
    </w:p>
    <w:p>
      <w:pPr>
        <w:spacing w:line="360" w:lineRule="auto"/>
        <w:ind w:firstLine="480" w:firstLineChars="200"/>
        <w:rPr>
          <w:rFonts w:hint="eastAsia"/>
          <w:b w:val="0"/>
          <w:bCs w:val="0"/>
          <w:snapToGrid w:val="0"/>
          <w:color w:val="000000"/>
          <w:kern w:val="0"/>
          <w:sz w:val="24"/>
        </w:rPr>
      </w:pPr>
      <w:r>
        <w:rPr>
          <w:rFonts w:hint="eastAsia"/>
          <w:b w:val="0"/>
          <w:bCs w:val="0"/>
          <w:snapToGrid w:val="0"/>
          <w:color w:val="000000"/>
          <w:kern w:val="0"/>
          <w:sz w:val="24"/>
        </w:rPr>
        <w:t>噪声污染防治对策</w:t>
      </w:r>
    </w:p>
    <w:p>
      <w:pPr>
        <w:spacing w:line="360" w:lineRule="auto"/>
        <w:ind w:firstLine="480"/>
        <w:rPr>
          <w:rFonts w:hint="eastAsia"/>
          <w:b w:val="0"/>
          <w:bCs w:val="0"/>
          <w:color w:val="000000"/>
          <w:sz w:val="24"/>
        </w:rPr>
      </w:pPr>
      <w:r>
        <w:rPr>
          <w:rFonts w:hint="eastAsia"/>
          <w:b w:val="0"/>
          <w:bCs w:val="0"/>
          <w:color w:val="000000"/>
          <w:kern w:val="0"/>
          <w:sz w:val="24"/>
        </w:rPr>
        <w:t>对采矿工业场地和风井场地主要噪声源，空压机和通风机采取吸声、消声、隔声等措施进行治理，通过噪声治理，厂界噪声能够满足</w:t>
      </w:r>
      <w:r>
        <w:rPr>
          <w:b w:val="0"/>
          <w:bCs w:val="0"/>
          <w:color w:val="000000"/>
          <w:sz w:val="24"/>
        </w:rPr>
        <w:t>《工业企业厂界环境噪声排放标准》</w:t>
      </w:r>
      <w:r>
        <w:rPr>
          <w:rFonts w:hint="eastAsia"/>
          <w:b w:val="0"/>
          <w:bCs w:val="0"/>
          <w:color w:val="000000"/>
          <w:sz w:val="24"/>
        </w:rPr>
        <w:t>（</w:t>
      </w:r>
      <w:r>
        <w:rPr>
          <w:b w:val="0"/>
          <w:bCs w:val="0"/>
          <w:color w:val="000000"/>
          <w:sz w:val="24"/>
        </w:rPr>
        <w:t>GB12348-</w:t>
      </w:r>
      <w:r>
        <w:rPr>
          <w:rFonts w:hint="eastAsia"/>
          <w:b w:val="0"/>
          <w:bCs w:val="0"/>
          <w:color w:val="000000"/>
          <w:sz w:val="24"/>
        </w:rPr>
        <w:t>2008）</w:t>
      </w:r>
      <w:r>
        <w:rPr>
          <w:b w:val="0"/>
          <w:bCs w:val="0"/>
          <w:color w:val="000000"/>
          <w:sz w:val="24"/>
        </w:rPr>
        <w:t>中的</w:t>
      </w:r>
      <w:r>
        <w:rPr>
          <w:rFonts w:hint="eastAsia" w:hAnsi="宋体" w:cs="宋体"/>
          <w:b w:val="0"/>
          <w:bCs w:val="0"/>
          <w:color w:val="000000"/>
          <w:sz w:val="24"/>
        </w:rPr>
        <w:t>1</w:t>
      </w:r>
      <w:r>
        <w:rPr>
          <w:b w:val="0"/>
          <w:bCs w:val="0"/>
          <w:color w:val="000000"/>
          <w:sz w:val="24"/>
        </w:rPr>
        <w:t>类标准</w:t>
      </w:r>
      <w:r>
        <w:rPr>
          <w:rFonts w:hint="eastAsia"/>
          <w:b w:val="0"/>
          <w:bCs w:val="0"/>
          <w:color w:val="000000"/>
          <w:sz w:val="24"/>
        </w:rPr>
        <w:t>要求。</w:t>
      </w:r>
    </w:p>
    <w:p>
      <w:pPr>
        <w:spacing w:line="360" w:lineRule="auto"/>
        <w:ind w:firstLine="480" w:firstLineChars="200"/>
        <w:rPr>
          <w:rFonts w:hint="eastAsia"/>
          <w:b w:val="0"/>
          <w:bCs w:val="0"/>
          <w:snapToGrid w:val="0"/>
          <w:color w:val="000000"/>
          <w:kern w:val="0"/>
          <w:sz w:val="24"/>
        </w:rPr>
      </w:pPr>
      <w:r>
        <w:rPr>
          <w:rFonts w:hint="eastAsia"/>
          <w:b w:val="0"/>
          <w:bCs w:val="0"/>
          <w:snapToGrid w:val="0"/>
          <w:color w:val="000000"/>
          <w:kern w:val="0"/>
          <w:sz w:val="24"/>
        </w:rPr>
        <w:t>固废处理处置及污染防治措施</w:t>
      </w:r>
    </w:p>
    <w:p>
      <w:pPr>
        <w:spacing w:line="360" w:lineRule="auto"/>
        <w:ind w:firstLine="480"/>
        <w:rPr>
          <w:rFonts w:hint="eastAsia"/>
          <w:b w:val="0"/>
          <w:bCs w:val="0"/>
          <w:color w:val="000000"/>
          <w:kern w:val="0"/>
          <w:sz w:val="24"/>
        </w:rPr>
      </w:pPr>
      <w:r>
        <w:rPr>
          <w:rFonts w:hint="eastAsia"/>
          <w:b w:val="0"/>
          <w:bCs w:val="0"/>
          <w:color w:val="000000"/>
          <w:kern w:val="0"/>
          <w:sz w:val="24"/>
        </w:rPr>
        <w:t>项目整合后，废石全部不出井进行井下回填，对现有2处废石堆场，1大1小，对于小的废石堆场作清场处理，恢复生态环境，对于大的废石堆场做封场处理，设置拦渣墙、排水沟、淋溶水收集池、堆场表面复土，植树造林，恢复生态环境。</w:t>
      </w:r>
    </w:p>
    <w:p>
      <w:pPr>
        <w:spacing w:line="360" w:lineRule="auto"/>
        <w:ind w:firstLine="480" w:firstLineChars="200"/>
        <w:rPr>
          <w:rFonts w:hint="eastAsia"/>
          <w:b w:val="0"/>
          <w:bCs w:val="0"/>
          <w:snapToGrid w:val="0"/>
          <w:color w:val="000000"/>
          <w:kern w:val="0"/>
          <w:sz w:val="24"/>
        </w:rPr>
      </w:pPr>
      <w:r>
        <w:rPr>
          <w:rFonts w:hint="eastAsia"/>
          <w:b w:val="0"/>
          <w:bCs w:val="0"/>
          <w:snapToGrid w:val="0"/>
          <w:color w:val="000000"/>
          <w:kern w:val="0"/>
          <w:sz w:val="24"/>
        </w:rPr>
        <w:t>生态恢复措施</w:t>
      </w:r>
    </w:p>
    <w:p>
      <w:pPr>
        <w:spacing w:line="360" w:lineRule="auto"/>
        <w:ind w:firstLine="480"/>
        <w:rPr>
          <w:rFonts w:hint="eastAsia"/>
          <w:b w:val="0"/>
          <w:bCs w:val="0"/>
          <w:color w:val="000000"/>
          <w:kern w:val="0"/>
          <w:sz w:val="24"/>
        </w:rPr>
      </w:pPr>
      <w:r>
        <w:rPr>
          <w:rFonts w:hint="eastAsia"/>
          <w:b w:val="0"/>
          <w:bCs w:val="0"/>
          <w:color w:val="000000"/>
          <w:kern w:val="0"/>
          <w:sz w:val="24"/>
        </w:rPr>
        <w:t>1.现有废石堆场治理</w:t>
      </w:r>
    </w:p>
    <w:p>
      <w:pPr>
        <w:spacing w:line="360" w:lineRule="auto"/>
        <w:ind w:firstLine="480"/>
        <w:rPr>
          <w:rFonts w:hint="eastAsia"/>
          <w:b w:val="0"/>
          <w:bCs w:val="0"/>
          <w:color w:val="000000"/>
          <w:sz w:val="24"/>
        </w:rPr>
      </w:pPr>
      <w:r>
        <w:rPr>
          <w:rFonts w:hint="eastAsia"/>
          <w:b w:val="0"/>
          <w:bCs w:val="0"/>
          <w:color w:val="000000"/>
          <w:kern w:val="0"/>
          <w:sz w:val="24"/>
        </w:rPr>
        <w:t>本着“先保护后开发，边保护边开发”的原则，</w:t>
      </w:r>
      <w:r>
        <w:rPr>
          <w:rFonts w:hint="eastAsia"/>
          <w:b w:val="0"/>
          <w:bCs w:val="0"/>
          <w:color w:val="000000"/>
          <w:sz w:val="24"/>
        </w:rPr>
        <w:t>原池州市贵池区梅街镇姚街第二铅锌矿，现有遗留废石堆场1个，废石堆场面积为1021m</w:t>
      </w:r>
      <w:r>
        <w:rPr>
          <w:rFonts w:hint="eastAsia"/>
          <w:b w:val="0"/>
          <w:bCs w:val="0"/>
          <w:color w:val="000000"/>
          <w:sz w:val="24"/>
          <w:vertAlign w:val="superscript"/>
        </w:rPr>
        <w:t>2</w:t>
      </w:r>
      <w:r>
        <w:rPr>
          <w:rFonts w:hint="eastAsia"/>
          <w:b w:val="0"/>
          <w:bCs w:val="0"/>
          <w:color w:val="000000"/>
          <w:sz w:val="24"/>
        </w:rPr>
        <w:t>，堆场现有废石堆存量约为1600m</w:t>
      </w:r>
      <w:r>
        <w:rPr>
          <w:rFonts w:hint="eastAsia"/>
          <w:b w:val="0"/>
          <w:bCs w:val="0"/>
          <w:color w:val="000000"/>
          <w:sz w:val="24"/>
          <w:vertAlign w:val="superscript"/>
        </w:rPr>
        <w:t>3</w:t>
      </w:r>
      <w:r>
        <w:rPr>
          <w:rFonts w:hint="eastAsia"/>
          <w:b w:val="0"/>
          <w:bCs w:val="0"/>
          <w:color w:val="000000"/>
          <w:sz w:val="24"/>
        </w:rPr>
        <w:t>。原池州市贵池区姚街铅锌矿设置矿石堆场1个，废石堆场1个。废石堆场面积约1362m</w:t>
      </w:r>
      <w:r>
        <w:rPr>
          <w:rFonts w:hint="eastAsia"/>
          <w:b w:val="0"/>
          <w:bCs w:val="0"/>
          <w:color w:val="000000"/>
          <w:sz w:val="24"/>
          <w:vertAlign w:val="superscript"/>
        </w:rPr>
        <w:t>2</w:t>
      </w:r>
      <w:r>
        <w:rPr>
          <w:rFonts w:hint="eastAsia"/>
          <w:b w:val="0"/>
          <w:bCs w:val="0"/>
          <w:color w:val="000000"/>
          <w:sz w:val="24"/>
        </w:rPr>
        <w:t>，现有废石堆存量约为10400m</w:t>
      </w:r>
      <w:r>
        <w:rPr>
          <w:rFonts w:hint="eastAsia"/>
          <w:b w:val="0"/>
          <w:bCs w:val="0"/>
          <w:color w:val="000000"/>
          <w:sz w:val="24"/>
          <w:vertAlign w:val="superscript"/>
        </w:rPr>
        <w:t>3</w:t>
      </w:r>
      <w:r>
        <w:rPr>
          <w:rFonts w:hint="eastAsia"/>
          <w:b w:val="0"/>
          <w:bCs w:val="0"/>
          <w:color w:val="000000"/>
          <w:sz w:val="24"/>
        </w:rPr>
        <w:t>。评价认为，对原池州市贵池区梅街镇姚街第二铅锌矿的废石堆场进行清场处理，将堆场废石全部回填现有采空区，并进行植树造林，恢复生态环境，对原池州市贵池区姚街铅锌矿废石堆厂作封场处理，并在废石堆场四周设置拦渣墙，设置导、排水沟，在堆场的下方设置收集沉淀池，收集淋溶废水，并将废石堆场表面复土，植树造林，恢复生态环境。</w:t>
      </w:r>
    </w:p>
    <w:p>
      <w:pPr>
        <w:spacing w:line="360" w:lineRule="auto"/>
        <w:ind w:firstLine="480"/>
        <w:rPr>
          <w:rFonts w:hint="eastAsia"/>
          <w:b w:val="0"/>
          <w:bCs w:val="0"/>
          <w:color w:val="000000"/>
          <w:kern w:val="0"/>
          <w:sz w:val="24"/>
        </w:rPr>
      </w:pPr>
      <w:r>
        <w:rPr>
          <w:rFonts w:hint="eastAsia"/>
          <w:b w:val="0"/>
          <w:bCs w:val="0"/>
          <w:color w:val="000000"/>
          <w:kern w:val="0"/>
          <w:sz w:val="24"/>
        </w:rPr>
        <w:t>2.拟建项目生态恢复</w:t>
      </w:r>
    </w:p>
    <w:p>
      <w:pPr>
        <w:spacing w:line="360" w:lineRule="auto"/>
        <w:ind w:firstLine="480"/>
        <w:rPr>
          <w:rFonts w:hint="eastAsia"/>
          <w:b w:val="0"/>
          <w:bCs w:val="0"/>
          <w:color w:val="000000"/>
          <w:kern w:val="0"/>
          <w:sz w:val="24"/>
        </w:rPr>
      </w:pPr>
      <w:r>
        <w:rPr>
          <w:rFonts w:hint="eastAsia"/>
          <w:b w:val="0"/>
          <w:bCs w:val="0"/>
          <w:color w:val="000000"/>
          <w:kern w:val="0"/>
          <w:sz w:val="24"/>
        </w:rPr>
        <w:t>拟建项目主要对工业场地范围内，除建筑物占地、硬化场地以及矿石堆场和废石堆场外，剩余的空地应全部进行绿化，绿化率不得小于15%。矿区道路两侧栽植行道树。同时修复场地施工中留下的开挖面和挖损面，做好水土保持工作。</w:t>
      </w:r>
    </w:p>
    <w:p>
      <w:pPr>
        <w:spacing w:line="360" w:lineRule="auto"/>
        <w:ind w:firstLine="480" w:firstLineChars="200"/>
        <w:rPr>
          <w:rFonts w:hint="default" w:ascii="Times New Roman" w:hAnsi="Times New Roman" w:eastAsia="宋体" w:cs="Times New Roman"/>
          <w:b w:val="0"/>
          <w:bCs w:val="0"/>
          <w:color w:val="auto"/>
        </w:rPr>
      </w:pPr>
      <w:r>
        <w:rPr>
          <w:rFonts w:hint="eastAsia"/>
          <w:b w:val="0"/>
          <w:bCs w:val="0"/>
          <w:color w:val="000000"/>
          <w:kern w:val="0"/>
          <w:sz w:val="24"/>
        </w:rPr>
        <w:t>矿山服务期满后，应拆除工业场地、风井场地所有的建构筑物，并对土地进行适当平整，恢复成林地，恢复矿区的生态环境。</w:t>
      </w:r>
    </w:p>
    <w:p>
      <w:pPr>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池州市贵池区姚街铅锌矿年产2万吨铅锌矿石原矿采矿技改整合扩建工程项目的建设，符合国家相关产业政策、《安徽省铜铅锌矿采选行业准入条件》和地方矿产资源规划，建设规模合理，资源有保证，选址可行。项目建设充分利用了资源，促进了地方经济的发展。项目下阶段设计应落实环评提出的污染污染治理措施和生态恢复措施，矿山企业应严格执</w:t>
      </w:r>
      <w:r>
        <w:rPr>
          <w:rFonts w:hint="eastAsia" w:ascii="宋体" w:hAnsi="宋体" w:eastAsia="宋体" w:cs="宋体"/>
          <w:color w:val="auto"/>
        </w:rPr>
        <w:t>行“三同时”制</w:t>
      </w:r>
      <w:r>
        <w:rPr>
          <w:rFonts w:hint="default" w:ascii="Times New Roman" w:hAnsi="Times New Roman" w:eastAsia="宋体" w:cs="Times New Roman"/>
          <w:color w:val="auto"/>
        </w:rPr>
        <w:t>度，并加强矿山环境保护管理和监测工作，使该项目的各类污染物达标排放，并切实做好清洁生产管理。使项目建成投产后，对环境的负面影响将降低到最小程度，将经济效益、社会效益和环境效益有机结合起来，从而实现当地社会和环境的可持续发展。评价从环境保护角度而言，本项目的建设是可行的。</w:t>
      </w:r>
    </w:p>
    <w:p>
      <w:pPr>
        <w:pStyle w:val="2"/>
        <w:spacing w:line="360" w:lineRule="auto"/>
        <w:rPr>
          <w:rFonts w:hint="default" w:ascii="Times New Roman" w:hAnsi="Times New Roman" w:eastAsia="宋体" w:cs="Times New Roman"/>
          <w:b w:val="0"/>
          <w:bCs w:val="0"/>
          <w:color w:val="auto"/>
          <w:lang w:eastAsia="zh-CN"/>
        </w:rPr>
      </w:pPr>
      <w:r>
        <w:rPr>
          <w:rFonts w:hint="eastAsia" w:ascii="Times New Roman" w:hAnsi="Times New Roman" w:eastAsia="宋体" w:cs="Times New Roman"/>
          <w:b w:val="0"/>
          <w:bCs w:val="0"/>
          <w:color w:val="auto"/>
          <w:lang w:val="en-US" w:eastAsia="zh-CN"/>
        </w:rPr>
        <w:t>2、</w:t>
      </w:r>
      <w:r>
        <w:rPr>
          <w:rFonts w:hint="default" w:ascii="Times New Roman" w:hAnsi="Times New Roman" w:eastAsia="宋体" w:cs="Times New Roman"/>
          <w:b w:val="0"/>
          <w:bCs w:val="0"/>
          <w:color w:val="auto"/>
          <w:lang w:eastAsia="zh-CN"/>
        </w:rPr>
        <w:t>建议：</w:t>
      </w:r>
    </w:p>
    <w:p>
      <w:pPr>
        <w:spacing w:line="360" w:lineRule="auto"/>
        <w:ind w:firstLine="480" w:firstLineChars="200"/>
        <w:rPr>
          <w:rFonts w:hint="default" w:ascii="Times New Roman" w:hAnsi="Times New Roman" w:eastAsia="宋体" w:cs="Times New Roman"/>
          <w:color w:val="auto"/>
          <w:sz w:val="24"/>
        </w:rPr>
      </w:pPr>
      <w:r>
        <w:rPr>
          <w:rFonts w:hint="eastAsia" w:cs="Times New Roman"/>
          <w:color w:val="auto"/>
          <w:sz w:val="24"/>
          <w:lang w:eastAsia="zh-CN"/>
        </w:rPr>
        <w:t>（</w:t>
      </w:r>
      <w:r>
        <w:rPr>
          <w:rFonts w:hint="eastAsia" w:cs="Times New Roman"/>
          <w:color w:val="auto"/>
          <w:sz w:val="24"/>
          <w:lang w:val="en-US" w:eastAsia="zh-CN"/>
        </w:rPr>
        <w:t>1</w:t>
      </w:r>
      <w:r>
        <w:rPr>
          <w:rFonts w:hint="eastAsia" w:cs="Times New Roman"/>
          <w:color w:val="auto"/>
          <w:sz w:val="24"/>
          <w:lang w:eastAsia="zh-CN"/>
        </w:rPr>
        <w:t>）</w:t>
      </w:r>
      <w:r>
        <w:rPr>
          <w:rFonts w:hint="default" w:ascii="Times New Roman" w:hAnsi="Times New Roman" w:eastAsia="宋体" w:cs="Times New Roman"/>
          <w:color w:val="auto"/>
          <w:sz w:val="24"/>
        </w:rPr>
        <w:t>做好节能节水工作；</w:t>
      </w:r>
    </w:p>
    <w:p>
      <w:pPr>
        <w:pStyle w:val="2"/>
        <w:spacing w:line="360" w:lineRule="auto"/>
        <w:ind w:left="0" w:leftChars="0" w:firstLine="480" w:firstLineChars="200"/>
        <w:rPr>
          <w:rFonts w:hint="default" w:ascii="Times New Roman" w:hAnsi="Times New Roman" w:eastAsia="宋体" w:cs="Times New Roman"/>
          <w:color w:val="auto"/>
          <w:lang w:eastAsia="zh-CN"/>
        </w:rPr>
      </w:pPr>
      <w:r>
        <w:rPr>
          <w:rFonts w:hint="eastAsia" w:cs="Times New Roman"/>
          <w:color w:val="auto"/>
          <w:sz w:val="24"/>
          <w:lang w:eastAsia="zh-CN"/>
        </w:rPr>
        <w:t>（</w:t>
      </w:r>
      <w:r>
        <w:rPr>
          <w:rFonts w:hint="eastAsia" w:cs="Times New Roman"/>
          <w:color w:val="auto"/>
          <w:sz w:val="24"/>
          <w:lang w:val="en-US" w:eastAsia="zh-CN"/>
        </w:rPr>
        <w:t>2</w:t>
      </w:r>
      <w:r>
        <w:rPr>
          <w:rFonts w:hint="eastAsia" w:cs="Times New Roman"/>
          <w:color w:val="auto"/>
          <w:sz w:val="24"/>
          <w:lang w:eastAsia="zh-CN"/>
        </w:rPr>
        <w:t>）</w:t>
      </w:r>
      <w:r>
        <w:rPr>
          <w:rFonts w:hint="default" w:ascii="Times New Roman" w:hAnsi="Times New Roman" w:eastAsia="宋体" w:cs="Times New Roman"/>
          <w:color w:val="auto"/>
          <w:sz w:val="24"/>
        </w:rPr>
        <w:t>建设单位应重视公众提出的意见和要求，力求解决好公众关心的各类环境问题，实现社会与环境的可持续发展</w:t>
      </w:r>
      <w:r>
        <w:rPr>
          <w:rFonts w:hint="default" w:ascii="Times New Roman" w:hAnsi="Times New Roman" w:eastAsia="宋体" w:cs="Times New Roman"/>
          <w:color w:val="auto"/>
          <w:sz w:val="24"/>
          <w:lang w:eastAsia="zh-CN"/>
        </w:rPr>
        <w:t>。</w:t>
      </w:r>
    </w:p>
    <w:bookmarkEnd w:id="193"/>
    <w:bookmarkEnd w:id="194"/>
    <w:bookmarkEnd w:id="195"/>
    <w:p>
      <w:pPr>
        <w:pStyle w:val="4"/>
        <w:rPr>
          <w:rFonts w:hint="eastAsia"/>
        </w:rPr>
      </w:pPr>
      <w:bookmarkStart w:id="201" w:name="_Toc10634"/>
      <w:bookmarkStart w:id="202" w:name="_Toc1101"/>
      <w:bookmarkStart w:id="203" w:name="_Toc23489"/>
      <w:bookmarkStart w:id="204" w:name="_Toc21166"/>
      <w:bookmarkStart w:id="205" w:name="_Toc24601"/>
      <w:bookmarkStart w:id="206" w:name="_Toc18111"/>
      <w:bookmarkStart w:id="207" w:name="_Toc17309"/>
      <w:bookmarkStart w:id="208" w:name="_Toc21522"/>
      <w:bookmarkStart w:id="209" w:name="_Toc3111"/>
      <w:r>
        <w:rPr>
          <w:rFonts w:hint="eastAsia"/>
          <w:lang w:val="en-US" w:eastAsia="zh-CN"/>
        </w:rPr>
        <w:t xml:space="preserve">3.2 </w:t>
      </w:r>
      <w:r>
        <w:rPr>
          <w:rFonts w:hint="eastAsia"/>
        </w:rPr>
        <w:t>审批部门审批决定</w:t>
      </w:r>
      <w:bookmarkEnd w:id="201"/>
    </w:p>
    <w:p>
      <w:pPr>
        <w:spacing w:line="360" w:lineRule="auto"/>
        <w:jc w:val="center"/>
        <w:rPr>
          <w:rFonts w:hint="eastAsia" w:ascii="Times New Roman" w:hAnsi="Times New Roman" w:cs="Times New Roman"/>
          <w:b/>
          <w:bCs/>
          <w:sz w:val="32"/>
          <w:szCs w:val="32"/>
          <w:lang w:eastAsia="zh-CN"/>
        </w:rPr>
      </w:pPr>
      <w:r>
        <w:rPr>
          <w:rFonts w:hint="eastAsia" w:ascii="Times New Roman" w:hAnsi="Times New Roman" w:cs="Times New Roman"/>
          <w:b/>
          <w:bCs/>
          <w:sz w:val="32"/>
          <w:szCs w:val="32"/>
          <w:lang w:eastAsia="zh-CN"/>
        </w:rPr>
        <w:t>安徽省环境保护厅</w:t>
      </w:r>
    </w:p>
    <w:p>
      <w:pPr>
        <w:spacing w:line="360" w:lineRule="auto"/>
        <w:jc w:val="center"/>
        <w:rPr>
          <w:rFonts w:hint="eastAsia" w:ascii="Times New Roman" w:hAnsi="Times New Roman" w:cs="Times New Roman"/>
          <w:b w:val="0"/>
          <w:bCs w:val="0"/>
          <w:sz w:val="28"/>
          <w:szCs w:val="36"/>
          <w:lang w:val="en-US" w:eastAsia="zh-CN"/>
        </w:rPr>
      </w:pPr>
      <w:r>
        <w:rPr>
          <w:rFonts w:hint="eastAsia" w:ascii="Times New Roman" w:hAnsi="Times New Roman" w:cs="Times New Roman"/>
          <w:b w:val="0"/>
          <w:bCs w:val="0"/>
          <w:sz w:val="24"/>
          <w:szCs w:val="24"/>
          <w:lang w:eastAsia="zh-CN"/>
        </w:rPr>
        <w:t>环评函</w:t>
      </w:r>
      <w:r>
        <w:rPr>
          <w:rFonts w:hint="eastAsia" w:cs="Times New Roman"/>
          <w:b w:val="0"/>
          <w:bCs w:val="0"/>
          <w:sz w:val="24"/>
          <w:szCs w:val="24"/>
          <w:lang w:eastAsia="zh-CN"/>
        </w:rPr>
        <w:t>[</w:t>
      </w:r>
      <w:r>
        <w:rPr>
          <w:rFonts w:hint="eastAsia" w:ascii="Times New Roman" w:hAnsi="Times New Roman" w:cs="Times New Roman"/>
          <w:b w:val="0"/>
          <w:bCs w:val="0"/>
          <w:sz w:val="24"/>
          <w:szCs w:val="24"/>
          <w:lang w:val="en-US" w:eastAsia="zh-CN"/>
        </w:rPr>
        <w:t>2011</w:t>
      </w:r>
      <w:r>
        <w:rPr>
          <w:rFonts w:hint="eastAsia" w:cs="Times New Roman"/>
          <w:b w:val="0"/>
          <w:bCs w:val="0"/>
          <w:sz w:val="24"/>
          <w:szCs w:val="24"/>
          <w:lang w:eastAsia="zh-CN"/>
        </w:rPr>
        <w:t>]</w:t>
      </w:r>
      <w:r>
        <w:rPr>
          <w:rFonts w:hint="eastAsia" w:ascii="Times New Roman" w:hAnsi="Times New Roman" w:cs="Times New Roman"/>
          <w:b w:val="0"/>
          <w:bCs w:val="0"/>
          <w:sz w:val="24"/>
          <w:szCs w:val="24"/>
          <w:lang w:val="en-US" w:eastAsia="zh-CN"/>
        </w:rPr>
        <w:t>881号</w:t>
      </w:r>
    </w:p>
    <w:p>
      <w:pPr>
        <w:spacing w:line="360" w:lineRule="auto"/>
        <w:jc w:val="cente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t>关于池州市贵池区姚街铅锌矿年产2万吨铅锌矿石原矿</w:t>
      </w:r>
    </w:p>
    <w:p>
      <w:pPr>
        <w:spacing w:line="360" w:lineRule="auto"/>
        <w:jc w:val="center"/>
        <w:rPr>
          <w:rFonts w:hint="default" w:ascii="Times New Roman" w:hAnsi="Times New Roman" w:cs="Times New Roman"/>
          <w:b/>
          <w:bCs/>
          <w:sz w:val="28"/>
          <w:szCs w:val="28"/>
          <w:lang w:eastAsia="zh-CN"/>
        </w:rPr>
      </w:pPr>
      <w:r>
        <w:rPr>
          <w:rFonts w:hint="default" w:ascii="Times New Roman" w:hAnsi="Times New Roman" w:cs="Times New Roman"/>
          <w:b/>
          <w:bCs/>
          <w:sz w:val="28"/>
          <w:szCs w:val="28"/>
          <w:lang w:val="en-US" w:eastAsia="zh-CN"/>
        </w:rPr>
        <w:t>采矿技改整合扩建工程项目环境影响报告书</w:t>
      </w:r>
      <w:r>
        <w:rPr>
          <w:rFonts w:hint="eastAsia" w:ascii="Times New Roman" w:hAnsi="Times New Roman" w:cs="Times New Roman"/>
          <w:b/>
          <w:bCs/>
          <w:sz w:val="28"/>
          <w:szCs w:val="28"/>
          <w:lang w:val="en-US" w:eastAsia="zh-CN"/>
        </w:rPr>
        <w:t>的</w:t>
      </w:r>
      <w:r>
        <w:rPr>
          <w:rFonts w:hint="default" w:ascii="Times New Roman" w:hAnsi="Times New Roman" w:cs="Times New Roman"/>
          <w:b/>
          <w:bCs/>
          <w:sz w:val="28"/>
          <w:szCs w:val="28"/>
          <w:lang w:eastAsia="zh-CN"/>
        </w:rPr>
        <w:t>批复</w:t>
      </w:r>
    </w:p>
    <w:p>
      <w:pPr>
        <w:spacing w:line="360" w:lineRule="auto"/>
        <w:jc w:val="both"/>
        <w:rPr>
          <w:rFonts w:hint="default" w:ascii="Times New Roman" w:hAnsi="Times New Roman" w:cs="Times New Roman"/>
          <w:b w:val="0"/>
          <w:bCs w:val="0"/>
          <w:sz w:val="24"/>
          <w:szCs w:val="24"/>
          <w:lang w:val="en-US" w:eastAsia="zh-CN"/>
        </w:rPr>
      </w:pPr>
      <w:r>
        <w:rPr>
          <w:rFonts w:hint="default" w:ascii="Times New Roman" w:hAnsi="Times New Roman" w:cs="Times New Roman"/>
          <w:b w:val="0"/>
          <w:bCs w:val="0"/>
          <w:sz w:val="24"/>
          <w:szCs w:val="24"/>
          <w:lang w:eastAsia="zh-CN"/>
        </w:rPr>
        <w:t>池州市贵池区姚街铅锌矿</w:t>
      </w:r>
      <w:r>
        <w:rPr>
          <w:rFonts w:hint="eastAsia" w:ascii="Times New Roman" w:hAnsi="Times New Roman" w:cs="Times New Roman"/>
          <w:b w:val="0"/>
          <w:bCs w:val="0"/>
          <w:sz w:val="24"/>
          <w:szCs w:val="24"/>
          <w:lang w:eastAsia="zh-CN"/>
        </w:rPr>
        <w:t>：</w:t>
      </w:r>
    </w:p>
    <w:p>
      <w:pPr>
        <w:spacing w:line="360" w:lineRule="auto"/>
        <w:ind w:firstLine="480" w:firstLineChars="200"/>
        <w:jc w:val="both"/>
        <w:rPr>
          <w:rFonts w:hint="default" w:ascii="Times New Roman" w:hAnsi="Times New Roman" w:cs="Times New Roman"/>
          <w:b w:val="0"/>
          <w:bCs w:val="0"/>
          <w:sz w:val="24"/>
          <w:szCs w:val="24"/>
          <w:lang w:val="en-US" w:eastAsia="zh-CN"/>
        </w:rPr>
      </w:pPr>
      <w:r>
        <w:rPr>
          <w:rFonts w:hint="default" w:ascii="Times New Roman" w:hAnsi="Times New Roman" w:cs="Times New Roman"/>
          <w:b w:val="0"/>
          <w:bCs w:val="0"/>
          <w:sz w:val="24"/>
          <w:szCs w:val="24"/>
          <w:lang w:val="en-US" w:eastAsia="zh-CN"/>
        </w:rPr>
        <w:t>你公司《池州市贵池区姚街铅锌矿年产2万吨铅锌矿石原矿采矿技改整合扩建工程项目环境影响报告书（报批稿）》（以下简称《报告书》）及池州市环保局《关于池州市贵池区姚街铅锌矿年产2万吨铅锌矿石原矿采矿技改整合扩建工程项目环境影响报告书的预审意见》（池环发</w:t>
      </w:r>
      <w:r>
        <w:rPr>
          <w:rFonts w:hint="eastAsia" w:cs="Times New Roman"/>
          <w:b w:val="0"/>
          <w:bCs w:val="0"/>
          <w:sz w:val="24"/>
          <w:szCs w:val="24"/>
          <w:lang w:val="en-US" w:eastAsia="zh-CN"/>
        </w:rPr>
        <w:t>[</w:t>
      </w:r>
      <w:r>
        <w:rPr>
          <w:rFonts w:hint="default" w:ascii="Times New Roman" w:hAnsi="Times New Roman" w:cs="Times New Roman"/>
          <w:b w:val="0"/>
          <w:bCs w:val="0"/>
          <w:sz w:val="24"/>
          <w:szCs w:val="24"/>
          <w:lang w:val="en-US" w:eastAsia="zh-CN"/>
        </w:rPr>
        <w:t>2011</w:t>
      </w:r>
      <w:r>
        <w:rPr>
          <w:rFonts w:hint="eastAsia" w:cs="Times New Roman"/>
          <w:b w:val="0"/>
          <w:bCs w:val="0"/>
          <w:sz w:val="24"/>
          <w:szCs w:val="24"/>
          <w:lang w:val="en-US" w:eastAsia="zh-CN"/>
        </w:rPr>
        <w:t>]</w:t>
      </w:r>
      <w:r>
        <w:rPr>
          <w:rFonts w:hint="default" w:ascii="Times New Roman" w:hAnsi="Times New Roman" w:cs="Times New Roman"/>
          <w:b w:val="0"/>
          <w:bCs w:val="0"/>
          <w:sz w:val="24"/>
          <w:szCs w:val="24"/>
          <w:lang w:val="en-US" w:eastAsia="zh-CN"/>
        </w:rPr>
        <w:t>56号）收悉，经研究，先批复如下：</w:t>
      </w:r>
    </w:p>
    <w:p>
      <w:pPr>
        <w:numPr>
          <w:ilvl w:val="0"/>
          <w:numId w:val="1"/>
        </w:numPr>
        <w:spacing w:line="360" w:lineRule="auto"/>
        <w:ind w:firstLine="480" w:firstLineChars="200"/>
        <w:jc w:val="both"/>
        <w:rPr>
          <w:rFonts w:hint="eastAsia" w:ascii="Times New Roman" w:hAnsi="Times New Roman" w:cs="Times New Roman"/>
          <w:b w:val="0"/>
          <w:bCs w:val="0"/>
          <w:sz w:val="24"/>
          <w:szCs w:val="24"/>
          <w:lang w:val="en-US" w:eastAsia="zh-CN"/>
        </w:rPr>
      </w:pPr>
      <w:r>
        <w:rPr>
          <w:rFonts w:hint="default" w:ascii="Times New Roman" w:hAnsi="Times New Roman" w:cs="Times New Roman"/>
          <w:b w:val="0"/>
          <w:bCs w:val="0"/>
          <w:sz w:val="24"/>
          <w:szCs w:val="24"/>
          <w:lang w:val="en-US" w:eastAsia="zh-CN"/>
        </w:rPr>
        <w:t>原则同意池州市环保局初审意见。姚街铅锌矿年产2万吨铅锌矿石原矿采矿技改正和扩建工程项目位于池州市贵池区刘街乡姚街村境内，由原池州市规制去姚街铅锌矿和池州市贵池区姚街第二铅锌矿整合而成。项目拟采用斜井开拓、对角抽出式通风系统，采矿方法为地下房柱采矿法设计开才能力为2万吨/年铅锌原矿石，矿区总面积0.218平方公里，开采标高+174米~+50米，矿权范围内保有资源铅锌矿石储量6.8287万吨，设计利用储量6.1147万吨，矿山服务年限为3年，产品为原矿石销售。建设内容主要包括：巷道开拓系统</w:t>
      </w:r>
      <w:r>
        <w:rPr>
          <w:rFonts w:hint="eastAsia" w:ascii="Times New Roman" w:hAnsi="Times New Roman" w:cs="Times New Roman"/>
          <w:b w:val="0"/>
          <w:bCs w:val="0"/>
          <w:sz w:val="24"/>
          <w:szCs w:val="24"/>
          <w:lang w:val="en-US" w:eastAsia="zh-CN"/>
        </w:rPr>
        <w:t>延伸</w:t>
      </w:r>
      <w:r>
        <w:rPr>
          <w:rFonts w:hint="default" w:ascii="Times New Roman" w:hAnsi="Times New Roman" w:cs="Times New Roman"/>
          <w:b w:val="0"/>
          <w:bCs w:val="0"/>
          <w:sz w:val="24"/>
          <w:szCs w:val="24"/>
          <w:lang w:val="en-US" w:eastAsia="zh-CN"/>
        </w:rPr>
        <w:t>、通风系统；配套建设规范的矿石临时堆场、提升机房、井下排水站、给排水、废水处理、噪声控制和尾砂充填等固废处理处置等公辅工程</w:t>
      </w:r>
      <w:r>
        <w:rPr>
          <w:rFonts w:hint="eastAsia" w:ascii="Times New Roman" w:hAnsi="Times New Roman" w:cs="Times New Roman"/>
          <w:b w:val="0"/>
          <w:bCs w:val="0"/>
          <w:sz w:val="24"/>
          <w:szCs w:val="24"/>
          <w:lang w:val="en-US" w:eastAsia="zh-CN"/>
        </w:rPr>
        <w:t>；对现有工程存在的生态环境问题进行治理和恢复等，项目已取得省经信委《关于池州市贵池区姚街铅锌矿年产2万吨铅锌矿石原矿采矿技改整合扩建工程项目核准的批复》（皖经信非煤函</w:t>
      </w:r>
      <w:r>
        <w:rPr>
          <w:rFonts w:hint="eastAsia" w:cs="Times New Roman"/>
          <w:b w:val="0"/>
          <w:bCs w:val="0"/>
          <w:sz w:val="24"/>
          <w:szCs w:val="24"/>
          <w:lang w:val="en-US" w:eastAsia="zh-CN"/>
        </w:rPr>
        <w:t>[</w:t>
      </w:r>
      <w:r>
        <w:rPr>
          <w:rFonts w:hint="eastAsia" w:ascii="Times New Roman" w:hAnsi="Times New Roman" w:cs="Times New Roman"/>
          <w:b w:val="0"/>
          <w:bCs w:val="0"/>
          <w:sz w:val="24"/>
          <w:szCs w:val="24"/>
          <w:lang w:val="en-US" w:eastAsia="zh-CN"/>
        </w:rPr>
        <w:t>2010</w:t>
      </w:r>
      <w:r>
        <w:rPr>
          <w:rFonts w:hint="eastAsia" w:cs="Times New Roman"/>
          <w:b w:val="0"/>
          <w:bCs w:val="0"/>
          <w:sz w:val="24"/>
          <w:szCs w:val="24"/>
          <w:lang w:val="en-US" w:eastAsia="zh-CN"/>
        </w:rPr>
        <w:t>]</w:t>
      </w:r>
      <w:r>
        <w:rPr>
          <w:rFonts w:hint="eastAsia" w:ascii="Times New Roman" w:hAnsi="Times New Roman" w:cs="Times New Roman"/>
          <w:b w:val="0"/>
          <w:bCs w:val="0"/>
          <w:sz w:val="24"/>
          <w:szCs w:val="24"/>
          <w:lang w:val="en-US" w:eastAsia="zh-CN"/>
        </w:rPr>
        <w:t>209号）、省国土资源厅《关于安徽省贵池区姚街铅锌矿矿产资源开发利用方案审查意见书备案的函》（皖国土资矿便函</w:t>
      </w:r>
      <w:r>
        <w:rPr>
          <w:rFonts w:hint="eastAsia" w:cs="Times New Roman"/>
          <w:b w:val="0"/>
          <w:bCs w:val="0"/>
          <w:sz w:val="24"/>
          <w:szCs w:val="24"/>
          <w:lang w:val="en-US" w:eastAsia="zh-CN"/>
        </w:rPr>
        <w:t>[</w:t>
      </w:r>
      <w:r>
        <w:rPr>
          <w:rFonts w:hint="eastAsia" w:ascii="Times New Roman" w:hAnsi="Times New Roman" w:cs="Times New Roman"/>
          <w:b w:val="0"/>
          <w:bCs w:val="0"/>
          <w:sz w:val="24"/>
          <w:szCs w:val="24"/>
          <w:lang w:val="en-US" w:eastAsia="zh-CN"/>
        </w:rPr>
        <w:t>2009</w:t>
      </w:r>
      <w:r>
        <w:rPr>
          <w:rFonts w:hint="eastAsia" w:cs="Times New Roman"/>
          <w:b w:val="0"/>
          <w:bCs w:val="0"/>
          <w:sz w:val="24"/>
          <w:szCs w:val="24"/>
          <w:lang w:val="en-US" w:eastAsia="zh-CN"/>
        </w:rPr>
        <w:t>]</w:t>
      </w:r>
      <w:r>
        <w:rPr>
          <w:rFonts w:hint="eastAsia" w:ascii="Times New Roman" w:hAnsi="Times New Roman" w:cs="Times New Roman"/>
          <w:b w:val="0"/>
          <w:bCs w:val="0"/>
          <w:sz w:val="24"/>
          <w:szCs w:val="24"/>
          <w:lang w:val="en-US" w:eastAsia="zh-CN"/>
        </w:rPr>
        <w:t>88号）、池州市贵池区水务局《关于贵池区姚街铅锌矿采矿工程水土保持方案的批复》（贵水务</w:t>
      </w:r>
      <w:r>
        <w:rPr>
          <w:rFonts w:hint="eastAsia" w:cs="Times New Roman"/>
          <w:b w:val="0"/>
          <w:bCs w:val="0"/>
          <w:sz w:val="24"/>
          <w:szCs w:val="24"/>
          <w:lang w:val="en-US" w:eastAsia="zh-CN"/>
        </w:rPr>
        <w:t>[</w:t>
      </w:r>
      <w:r>
        <w:rPr>
          <w:rFonts w:hint="eastAsia" w:ascii="Times New Roman" w:hAnsi="Times New Roman" w:cs="Times New Roman"/>
          <w:b w:val="0"/>
          <w:bCs w:val="0"/>
          <w:sz w:val="24"/>
          <w:szCs w:val="24"/>
          <w:lang w:val="en-US" w:eastAsia="zh-CN"/>
        </w:rPr>
        <w:t>2010</w:t>
      </w:r>
      <w:r>
        <w:rPr>
          <w:rFonts w:hint="eastAsia" w:cs="Times New Roman"/>
          <w:b w:val="0"/>
          <w:bCs w:val="0"/>
          <w:sz w:val="24"/>
          <w:szCs w:val="24"/>
          <w:lang w:val="en-US" w:eastAsia="zh-CN"/>
        </w:rPr>
        <w:t>]</w:t>
      </w:r>
      <w:r>
        <w:rPr>
          <w:rFonts w:hint="eastAsia" w:ascii="Times New Roman" w:hAnsi="Times New Roman" w:cs="Times New Roman"/>
          <w:b w:val="0"/>
          <w:bCs w:val="0"/>
          <w:sz w:val="24"/>
          <w:szCs w:val="24"/>
          <w:lang w:val="en-US" w:eastAsia="zh-CN"/>
        </w:rPr>
        <w:t>032）等。我厅同意你公司按照《报告书》中所列建设项目的性质、规模、地点、环境保护措施及下述要求进行项目建设。</w:t>
      </w:r>
    </w:p>
    <w:p>
      <w:pPr>
        <w:numPr>
          <w:ilvl w:val="0"/>
          <w:numId w:val="1"/>
        </w:numPr>
        <w:spacing w:line="360" w:lineRule="auto"/>
        <w:ind w:firstLine="480" w:firstLineChars="20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项目的设计、建设、生产运营期间的环境管理必须严格执行《报告书》中提出的各项要求及环保措施，并重点做好以下工作：</w:t>
      </w:r>
    </w:p>
    <w:p>
      <w:pPr>
        <w:numPr>
          <w:ilvl w:val="0"/>
          <w:numId w:val="2"/>
        </w:numPr>
        <w:spacing w:line="360" w:lineRule="auto"/>
        <w:ind w:firstLine="480" w:firstLineChars="200"/>
        <w:jc w:val="both"/>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立即采取措施，对原矿山遗留的废石堆场进行清理和处置，废石用于回填矿山采空区，</w:t>
      </w:r>
      <w:r>
        <w:rPr>
          <w:rFonts w:hint="eastAsia" w:cs="Times New Roman"/>
          <w:b w:val="0"/>
          <w:bCs w:val="0"/>
          <w:sz w:val="24"/>
          <w:szCs w:val="24"/>
          <w:lang w:val="en-US" w:eastAsia="zh-CN"/>
        </w:rPr>
        <w:t>并对废石堆场区域进行生态恢复、落实</w:t>
      </w:r>
      <w:r>
        <w:rPr>
          <w:rFonts w:hint="eastAsia" w:ascii="Times New Roman" w:hAnsi="Times New Roman" w:cs="Times New Roman"/>
          <w:b w:val="0"/>
          <w:bCs w:val="0"/>
          <w:sz w:val="24"/>
          <w:szCs w:val="24"/>
          <w:lang w:val="en-US" w:eastAsia="zh-CN"/>
        </w:rPr>
        <w:t>水土保持措施</w:t>
      </w:r>
      <w:r>
        <w:rPr>
          <w:rFonts w:hint="eastAsia" w:cs="Times New Roman"/>
          <w:b w:val="0"/>
          <w:bCs w:val="0"/>
          <w:sz w:val="24"/>
          <w:szCs w:val="24"/>
          <w:lang w:val="en-US" w:eastAsia="zh-CN"/>
        </w:rPr>
        <w:t>，并书面报告池州市环保局，待落实整改措施并经池州市环保局书面同意后，项目方可开工建设。</w:t>
      </w:r>
    </w:p>
    <w:p>
      <w:pPr>
        <w:numPr>
          <w:ilvl w:val="0"/>
          <w:numId w:val="2"/>
        </w:numPr>
        <w:spacing w:line="360" w:lineRule="auto"/>
        <w:ind w:firstLine="480" w:firstLineChars="20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按《中华人民共和国矿产资源法》相关规定，对本矿山设计的伴生资源，统一规划、综合开采利用，防止浪费和损失破坏。</w:t>
      </w:r>
    </w:p>
    <w:p>
      <w:pPr>
        <w:numPr>
          <w:ilvl w:val="0"/>
          <w:numId w:val="2"/>
        </w:numPr>
        <w:spacing w:line="360" w:lineRule="auto"/>
        <w:ind w:firstLine="480" w:firstLineChars="20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工程要针对项目所在区域环境特征，制定生态恢复计划，对矿石和废石临时堆场、工业场地等及时进行综合生态治理和恢复，加强影响区地表形态变化观测，及时做好矿山开采引起的地表错动治理，生态修复及地表错动区综合治理应纳入工程设计中，土地复垦和生态恢复所需资金由建设单位负责解决。</w:t>
      </w:r>
    </w:p>
    <w:p>
      <w:pPr>
        <w:numPr>
          <w:ilvl w:val="0"/>
          <w:numId w:val="2"/>
        </w:numPr>
        <w:spacing w:line="360" w:lineRule="auto"/>
        <w:ind w:firstLine="480" w:firstLineChars="20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做好水资源保护和利用工作，实施清污分流、雨污分流，一水多用，工业场地周边应建设截水沟、沉沙池等设施，以减少进入工业场地的雨水量，项目矿井涌水、矿石和废石临时堆场淋溶水应配套建设收集处理系统，处理后的废水优先用于矿井生产，多余部分送签约利用的池州市世源矿业发展有限公司作为选矿生产用水，不得外排；废（矿）石临时堆场应加设顶棚。合理布局矿区地下水监测井，定期对地下水水质进行监测，发现污染时应立即采取措施阻断污染源，防止污染扩延并清理污染。矿山不得建设职工生活设施。</w:t>
      </w:r>
    </w:p>
    <w:p>
      <w:pPr>
        <w:numPr>
          <w:ilvl w:val="0"/>
          <w:numId w:val="2"/>
        </w:numPr>
        <w:spacing w:line="360" w:lineRule="auto"/>
        <w:ind w:firstLine="480" w:firstLineChars="20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建设单位应重视项目开发对生产设施、基础设施的影响，并采取确实可行的保护措施，如因项目采矿引起的地表错动导致道路、水利等基础设施受到破坏，以及因矿井疏于排水影响区域植被生长，由你公司负责解决或恢复。</w:t>
      </w:r>
    </w:p>
    <w:p>
      <w:pPr>
        <w:numPr>
          <w:ilvl w:val="0"/>
          <w:numId w:val="2"/>
        </w:numPr>
        <w:spacing w:line="360" w:lineRule="auto"/>
        <w:ind w:firstLine="480" w:firstLineChars="20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项目应及时做好废石回填采空区工作，严格控制临时矿石堆场堆置量和面积，生产全过程产生的废石应不出井并全部回填采空区，不得外排。本项目矿石经池州市世源矿业发展有限公司选矿加工后产生的尾砂应运回，用于本项目矿山开采形成的采空区充填。固废堆存场所严格执行《一般工业固体废物贮存、处置场污染控制标准》（GB18599-2001）有关要求。原姚街铅锌矿现有废石堆场所存目前不能全部回填的废石，应在生产过程中逐步回填采空区，服务期满时废石应当全部回填，堆场应进行生态恢复，生活垃圾收集并交环卫部门处理。</w:t>
      </w:r>
    </w:p>
    <w:p>
      <w:pPr>
        <w:numPr>
          <w:ilvl w:val="0"/>
          <w:numId w:val="2"/>
        </w:numPr>
        <w:spacing w:line="360" w:lineRule="auto"/>
        <w:ind w:firstLine="480" w:firstLineChars="20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矿区如需供热，应采用清洁能源，不得建设燃煤锅炉房，落实井下生产、矿（废）石临时堆场、道路运输等的空气污染控制措施，减少无组织排放，颗粒物等污染物的无组织排放厂界监控浓度执行《铅、锌工业污染物排放标准》（GB25466-2010）表6限值要求。</w:t>
      </w:r>
    </w:p>
    <w:p>
      <w:pPr>
        <w:numPr>
          <w:ilvl w:val="0"/>
          <w:numId w:val="2"/>
        </w:numPr>
        <w:spacing w:line="360" w:lineRule="auto"/>
        <w:ind w:firstLine="480" w:firstLineChars="20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选用低噪声设备，优化总图布置，合理布置高噪声源，采取切实可行的隔声、消音、减震等降噪措施。厂界环境噪声执行《工业企业厂界环境噪声排放标准》（GB12348-2008）</w:t>
      </w:r>
      <w:r>
        <w:rPr>
          <w:rFonts w:hint="eastAsia" w:cs="Times New Roman"/>
          <w:b w:val="0"/>
          <w:bCs w:val="0"/>
          <w:sz w:val="24"/>
          <w:szCs w:val="24"/>
          <w:lang w:val="en-US" w:eastAsia="zh-CN"/>
        </w:rPr>
        <w:t>1</w:t>
      </w:r>
      <w:r>
        <w:rPr>
          <w:rFonts w:hint="eastAsia" w:ascii="Times New Roman" w:hAnsi="Times New Roman" w:cs="Times New Roman"/>
          <w:b w:val="0"/>
          <w:bCs w:val="0"/>
          <w:sz w:val="24"/>
          <w:szCs w:val="24"/>
          <w:lang w:val="en-US" w:eastAsia="zh-CN"/>
        </w:rPr>
        <w:t>类标准。进一步优化运输路线，强化运输过程的噪声预防和治理，避免夜间装卸和运输，严禁噪声扰民。</w:t>
      </w:r>
    </w:p>
    <w:p>
      <w:pPr>
        <w:numPr>
          <w:ilvl w:val="0"/>
          <w:numId w:val="2"/>
        </w:numPr>
        <w:spacing w:line="360" w:lineRule="auto"/>
        <w:ind w:firstLine="480" w:firstLineChars="20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落实批准的水土保持方案，加强施工期的环境管理，合理组织施工，落实水土保持、生态保护和污染物防治措施，严格控制环境影响；服务期满后，及时拆除建构筑物，并落实矿（废）石临时堆场、工业场地、运输道路等的生态恢复措施。项目建设期间应开展环境监理工作。</w:t>
      </w:r>
    </w:p>
    <w:p>
      <w:pPr>
        <w:numPr>
          <w:ilvl w:val="0"/>
          <w:numId w:val="2"/>
        </w:numPr>
        <w:spacing w:line="360" w:lineRule="auto"/>
        <w:ind w:firstLine="480" w:firstLineChars="20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项目矿石全部外手给池州市世源矿业发展有限公司，并由其进行选矿，选矿尾砂经干化处理后应运回用于本项目井下充填，不得堆存于选矿厂尾矿库，尾砂运输车辆须加装密闭设施。池州市世源矿业发展有限公司选矿厂的污染防治措施和环境风险防范、应急措施必须符合国家相关环境保护法律法规要求。请池州市环保局先期检查，具备相应条件后方可实施，并加强日常督查。</w:t>
      </w:r>
    </w:p>
    <w:p>
      <w:pPr>
        <w:numPr>
          <w:ilvl w:val="0"/>
          <w:numId w:val="2"/>
        </w:numPr>
        <w:spacing w:line="360" w:lineRule="auto"/>
        <w:ind w:firstLine="480" w:firstLineChars="20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优化生产工艺和环境保护设施的设计和施工，确保符合《安徽省铜铅锌矿采选行业准入条件》（皖经信办</w:t>
      </w:r>
      <w:r>
        <w:rPr>
          <w:rFonts w:hint="eastAsia" w:cs="Times New Roman"/>
          <w:b w:val="0"/>
          <w:bCs w:val="0"/>
          <w:sz w:val="24"/>
          <w:szCs w:val="24"/>
          <w:lang w:val="en-US" w:eastAsia="zh-CN"/>
        </w:rPr>
        <w:t>[</w:t>
      </w:r>
      <w:r>
        <w:rPr>
          <w:rFonts w:hint="eastAsia" w:ascii="Times New Roman" w:hAnsi="Times New Roman" w:cs="Times New Roman"/>
          <w:b w:val="0"/>
          <w:bCs w:val="0"/>
          <w:sz w:val="24"/>
          <w:szCs w:val="24"/>
          <w:lang w:val="en-US" w:eastAsia="zh-CN"/>
        </w:rPr>
        <w:t>2009</w:t>
      </w:r>
      <w:r>
        <w:rPr>
          <w:rFonts w:hint="eastAsia" w:cs="Times New Roman"/>
          <w:b w:val="0"/>
          <w:bCs w:val="0"/>
          <w:sz w:val="24"/>
          <w:szCs w:val="24"/>
          <w:lang w:val="en-US" w:eastAsia="zh-CN"/>
        </w:rPr>
        <w:t>]</w:t>
      </w:r>
      <w:r>
        <w:rPr>
          <w:rFonts w:hint="eastAsia" w:ascii="Times New Roman" w:hAnsi="Times New Roman" w:cs="Times New Roman"/>
          <w:b w:val="0"/>
          <w:bCs w:val="0"/>
          <w:sz w:val="24"/>
          <w:szCs w:val="24"/>
          <w:lang w:val="en-US" w:eastAsia="zh-CN"/>
        </w:rPr>
        <w:t>87号）要求。若项目的规模、地点、采用的生产工艺或者防治污染措施、防止生态破坏措施发生重大变动，你公司应严格遵照国家相关法律法规的规定，及时向我厅报告，待正式批准后方可开工建设。</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项目建设应严格执行环境保护设施与主体工程同时设计、同时施工、同时投入使用的环境保护“三同时”制度。项目试生产须经我厅批准同意。项目建成投入试生产3个月内，向我厅申请该项目竣工环境保护验收；验收合格后，项目方可正式投入生产，违反本规定要求的，承担相应环保法律责任。</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请池州市环保局负责该项目环境保护“三同时”日常监督管理，加强施工期的环境管理，同时加强对世源矿业发展有限公司选矿厂和尾矿库的环保“三同时”日常监督管理。</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你公司应在收到本批复20个工作日内，将批准后的《报告书》送池州市环保局，并按规定接受各级环境保护行政主管部门的监督检查。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imes New Roman" w:hAnsi="Times New Roman" w:cs="Times New Roman"/>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imes New Roman" w:hAnsi="Times New Roman" w:cs="Times New Roman"/>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right"/>
        <w:textAlignment w:val="auto"/>
        <w:outlineLvl w:val="9"/>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二〇一一年八月二十三日</w:t>
      </w:r>
    </w:p>
    <w:p>
      <w:pPr>
        <w:spacing w:line="360" w:lineRule="auto"/>
        <w:jc w:val="both"/>
        <w:outlineLvl w:val="9"/>
        <w:rPr>
          <w:b/>
          <w:bCs/>
          <w:color w:val="auto"/>
          <w:sz w:val="21"/>
          <w:szCs w:val="21"/>
        </w:rPr>
      </w:pPr>
    </w:p>
    <w:bookmarkEnd w:id="196"/>
    <w:bookmarkEnd w:id="197"/>
    <w:bookmarkEnd w:id="198"/>
    <w:bookmarkEnd w:id="199"/>
    <w:bookmarkEnd w:id="202"/>
    <w:bookmarkEnd w:id="203"/>
    <w:bookmarkEnd w:id="204"/>
    <w:bookmarkEnd w:id="205"/>
    <w:bookmarkEnd w:id="206"/>
    <w:bookmarkEnd w:id="207"/>
    <w:bookmarkEnd w:id="208"/>
    <w:bookmarkEnd w:id="209"/>
    <w:p>
      <w:pPr>
        <w:widowControl w:val="0"/>
        <w:numPr>
          <w:ilvl w:val="0"/>
          <w:numId w:val="0"/>
        </w:numPr>
        <w:spacing w:line="360" w:lineRule="auto"/>
        <w:jc w:val="both"/>
        <w:rPr>
          <w:rFonts w:hint="eastAsia"/>
          <w:color w:val="FF0000"/>
          <w:vertAlign w:val="baseline"/>
          <w:lang w:val="en-US" w:eastAsia="zh-CN"/>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pStyle w:val="3"/>
        <w:jc w:val="center"/>
      </w:pPr>
      <w:bookmarkStart w:id="210" w:name="_Toc32462"/>
      <w:r>
        <w:rPr>
          <w:rFonts w:hint="eastAsia"/>
          <w:lang w:val="en-US" w:eastAsia="zh-CN"/>
        </w:rPr>
        <w:t xml:space="preserve">4 </w:t>
      </w:r>
      <w:r>
        <w:t>环保措施实情况调查分析</w:t>
      </w:r>
      <w:bookmarkEnd w:id="210"/>
    </w:p>
    <w:p>
      <w:pPr>
        <w:pStyle w:val="4"/>
        <w:rPr>
          <w:rFonts w:hint="eastAsia"/>
          <w:lang w:val="en-US" w:eastAsia="zh-CN"/>
        </w:rPr>
      </w:pPr>
      <w:bookmarkStart w:id="211" w:name="_Toc18526"/>
      <w:bookmarkStart w:id="212" w:name="_Toc23868"/>
      <w:bookmarkStart w:id="213" w:name="_Toc483653496"/>
      <w:bookmarkStart w:id="214" w:name="_Toc32268"/>
      <w:bookmarkStart w:id="215" w:name="_Toc464657310"/>
      <w:bookmarkStart w:id="216" w:name="_Toc450651910"/>
      <w:r>
        <w:rPr>
          <w:rFonts w:hint="eastAsia"/>
          <w:lang w:val="en-US" w:eastAsia="zh-CN"/>
        </w:rPr>
        <w:t>4</w:t>
      </w:r>
      <w:r>
        <w:rPr>
          <w:rFonts w:hint="eastAsia"/>
        </w:rPr>
        <w:t>.1</w:t>
      </w:r>
      <w:r>
        <w:rPr>
          <w:rFonts w:hint="eastAsia"/>
          <w:lang w:val="en-US" w:eastAsia="zh-CN"/>
        </w:rPr>
        <w:t xml:space="preserve"> 产污环节及环保措施调查</w:t>
      </w:r>
      <w:bookmarkEnd w:id="211"/>
    </w:p>
    <w:p>
      <w:pPr>
        <w:pStyle w:val="5"/>
        <w:rPr>
          <w:rFonts w:hint="eastAsia"/>
          <w:lang w:val="en-US" w:eastAsia="zh-CN"/>
        </w:rPr>
      </w:pPr>
      <w:bookmarkStart w:id="217" w:name="_Toc18239"/>
      <w:bookmarkStart w:id="218" w:name="_Toc8722"/>
      <w:bookmarkStart w:id="219" w:name="_Toc15364"/>
      <w:bookmarkStart w:id="220" w:name="_Toc29750"/>
      <w:bookmarkStart w:id="221" w:name="_Toc29063"/>
      <w:bookmarkStart w:id="222" w:name="_Toc31535"/>
      <w:bookmarkStart w:id="223" w:name="_Toc468624465"/>
      <w:bookmarkStart w:id="224" w:name="_Toc9004"/>
      <w:r>
        <w:rPr>
          <w:rFonts w:hint="eastAsia"/>
          <w:lang w:val="en-US" w:eastAsia="zh-CN"/>
        </w:rPr>
        <w:t>4.</w:t>
      </w:r>
      <w:r>
        <w:t>1</w:t>
      </w:r>
      <w:r>
        <w:rPr>
          <w:rFonts w:hint="eastAsia"/>
          <w:lang w:val="en-US" w:eastAsia="zh-CN"/>
        </w:rPr>
        <w:t>.1</w:t>
      </w:r>
      <w:r>
        <w:t>废</w:t>
      </w:r>
      <w:r>
        <w:rPr>
          <w:rFonts w:hint="eastAsia"/>
          <w:lang w:eastAsia="zh-CN"/>
        </w:rPr>
        <w:t>水排放情况及治理</w:t>
      </w:r>
      <w:r>
        <w:t>措施</w:t>
      </w:r>
      <w:bookmarkEnd w:id="217"/>
      <w:bookmarkEnd w:id="218"/>
      <w:bookmarkEnd w:id="219"/>
      <w:bookmarkEnd w:id="220"/>
      <w:bookmarkEnd w:id="221"/>
      <w:bookmarkEnd w:id="222"/>
      <w:bookmarkEnd w:id="223"/>
      <w:bookmarkEnd w:id="224"/>
    </w:p>
    <w:p>
      <w:pPr>
        <w:spacing w:line="360" w:lineRule="auto"/>
        <w:ind w:firstLine="480"/>
        <w:rPr>
          <w:rFonts w:hint="eastAsia"/>
          <w:color w:val="000000"/>
          <w:sz w:val="24"/>
        </w:rPr>
      </w:pPr>
      <w:r>
        <w:rPr>
          <w:rFonts w:hint="eastAsia"/>
          <w:color w:val="000000"/>
          <w:sz w:val="24"/>
        </w:rPr>
        <w:t>本项目</w:t>
      </w:r>
      <w:r>
        <w:rPr>
          <w:rFonts w:hint="eastAsia"/>
          <w:color w:val="000000"/>
          <w:sz w:val="24"/>
          <w:lang w:eastAsia="zh-CN"/>
        </w:rPr>
        <w:t>产生的废水</w:t>
      </w:r>
      <w:r>
        <w:rPr>
          <w:rFonts w:hint="eastAsia"/>
          <w:color w:val="000000"/>
          <w:sz w:val="24"/>
        </w:rPr>
        <w:t>主要是</w:t>
      </w:r>
      <w:r>
        <w:rPr>
          <w:rFonts w:hint="eastAsia"/>
          <w:color w:val="000000"/>
          <w:sz w:val="24"/>
          <w:lang w:eastAsia="zh-CN"/>
        </w:rPr>
        <w:t>生产废水，包括</w:t>
      </w:r>
      <w:r>
        <w:rPr>
          <w:rFonts w:hint="eastAsia"/>
          <w:color w:val="000000"/>
          <w:sz w:val="24"/>
        </w:rPr>
        <w:t>矿坑涌水</w:t>
      </w:r>
      <w:r>
        <w:rPr>
          <w:rFonts w:hint="eastAsia"/>
          <w:color w:val="000000"/>
          <w:sz w:val="24"/>
          <w:lang w:eastAsia="zh-CN"/>
        </w:rPr>
        <w:t>、矿石淋溶水等</w:t>
      </w:r>
      <w:r>
        <w:rPr>
          <w:rFonts w:hint="eastAsia"/>
          <w:color w:val="000000"/>
          <w:sz w:val="24"/>
        </w:rPr>
        <w:t>。</w:t>
      </w:r>
    </w:p>
    <w:p>
      <w:pPr>
        <w:ind w:firstLine="241" w:firstLineChars="100"/>
        <w:rPr>
          <w:rFonts w:hint="eastAsia"/>
          <w:b/>
          <w:bCs/>
        </w:rPr>
      </w:pPr>
      <w:r>
        <w:rPr>
          <w:rFonts w:hint="eastAsia"/>
          <w:b/>
          <w:bCs/>
          <w:lang w:val="en-US" w:eastAsia="zh-CN"/>
        </w:rPr>
        <w:t>4.1.1.1生产</w:t>
      </w:r>
      <w:r>
        <w:rPr>
          <w:rFonts w:hint="eastAsia"/>
          <w:b/>
          <w:bCs/>
        </w:rPr>
        <w:t>废水</w:t>
      </w:r>
    </w:p>
    <w:p>
      <w:pPr>
        <w:spacing w:line="360" w:lineRule="auto"/>
        <w:ind w:firstLine="480"/>
        <w:rPr>
          <w:rFonts w:hint="eastAsia"/>
        </w:rPr>
      </w:pPr>
      <w:r>
        <w:rPr>
          <w:rFonts w:hint="eastAsia"/>
          <w:color w:val="000000"/>
          <w:sz w:val="24"/>
          <w:lang w:eastAsia="zh-CN"/>
        </w:rPr>
        <w:t>针对</w:t>
      </w:r>
      <w:r>
        <w:rPr>
          <w:rFonts w:hint="eastAsia"/>
          <w:color w:val="000000"/>
          <w:sz w:val="24"/>
        </w:rPr>
        <w:t>矿井排水，</w:t>
      </w:r>
      <w:r>
        <w:rPr>
          <w:rFonts w:hint="eastAsia"/>
          <w:color w:val="000000"/>
          <w:sz w:val="24"/>
          <w:lang w:eastAsia="zh-CN"/>
        </w:rPr>
        <w:t>地表作业区建设了废水收集沟，将废水</w:t>
      </w:r>
      <w:r>
        <w:rPr>
          <w:rFonts w:hint="eastAsia"/>
          <w:color w:val="000000"/>
          <w:sz w:val="24"/>
        </w:rPr>
        <w:t>全部汇集到</w:t>
      </w:r>
      <w:r>
        <w:rPr>
          <w:rFonts w:hint="eastAsia"/>
          <w:color w:val="000000"/>
          <w:sz w:val="24"/>
          <w:lang w:eastAsia="zh-CN"/>
        </w:rPr>
        <w:t>原</w:t>
      </w:r>
      <w:r>
        <w:rPr>
          <w:rFonts w:hint="eastAsia"/>
          <w:color w:val="000000"/>
          <w:sz w:val="24"/>
        </w:rPr>
        <w:t>废石堆场下方设置的废水收集和沉淀池中</w:t>
      </w:r>
      <w:r>
        <w:rPr>
          <w:rFonts w:hint="eastAsia"/>
          <w:color w:val="auto"/>
          <w:sz w:val="24"/>
          <w:lang w:eastAsia="zh-CN"/>
        </w:rPr>
        <w:t>。</w:t>
      </w:r>
      <w:r>
        <w:rPr>
          <w:rFonts w:hint="eastAsia"/>
          <w:color w:val="auto"/>
          <w:sz w:val="24"/>
          <w:lang w:val="en-US" w:eastAsia="zh-CN"/>
        </w:rPr>
        <w:t>1#沉淀池位于原废石堆场旁，标高为+124m，尺寸为4m×2m×1m，2#沉淀池位于地表作业区西北角，标高为+123m，尺寸为10m×5m×2m。</w:t>
      </w:r>
      <w:r>
        <w:rPr>
          <w:rFonts w:hint="eastAsia"/>
          <w:color w:val="auto"/>
          <w:sz w:val="24"/>
        </w:rPr>
        <w:t>根据</w:t>
      </w:r>
      <w:r>
        <w:rPr>
          <w:rFonts w:hint="eastAsia"/>
          <w:color w:val="auto"/>
          <w:sz w:val="24"/>
          <w:lang w:eastAsia="zh-CN"/>
        </w:rPr>
        <w:t>世源</w:t>
      </w:r>
      <w:r>
        <w:rPr>
          <w:rFonts w:hint="eastAsia"/>
          <w:color w:val="auto"/>
          <w:sz w:val="24"/>
        </w:rPr>
        <w:t>选矿厂</w:t>
      </w:r>
      <w:r>
        <w:rPr>
          <w:rFonts w:hint="eastAsia"/>
          <w:color w:val="auto"/>
          <w:sz w:val="24"/>
          <w:lang w:eastAsia="zh-CN"/>
        </w:rPr>
        <w:t>的实际生产情况可知，世源矿业选矿厂的生产线可以正常运转，能够接纳本项目所产生的污水，并且根据世源矿业选矿厂</w:t>
      </w:r>
      <w:r>
        <w:rPr>
          <w:rFonts w:hint="eastAsia"/>
          <w:color w:val="auto"/>
          <w:sz w:val="24"/>
        </w:rPr>
        <w:t>出示的证明，水质能够</w:t>
      </w:r>
      <w:r>
        <w:rPr>
          <w:rFonts w:hint="eastAsia"/>
          <w:color w:val="000000"/>
          <w:sz w:val="24"/>
        </w:rPr>
        <w:t>满足选矿生产用水要求，</w:t>
      </w:r>
      <w:r>
        <w:rPr>
          <w:rFonts w:hint="eastAsia"/>
          <w:color w:val="000000"/>
          <w:sz w:val="24"/>
          <w:lang w:eastAsia="zh-CN"/>
        </w:rPr>
        <w:t>因此本项目一部分废水回用于</w:t>
      </w:r>
      <w:r>
        <w:rPr>
          <w:rFonts w:hint="eastAsia"/>
          <w:color w:val="000000"/>
          <w:sz w:val="24"/>
        </w:rPr>
        <w:t>矿井生产用，</w:t>
      </w:r>
      <w:r>
        <w:rPr>
          <w:rFonts w:hint="eastAsia"/>
          <w:color w:val="000000"/>
          <w:sz w:val="24"/>
          <w:lang w:eastAsia="zh-CN"/>
        </w:rPr>
        <w:t>剩余全部</w:t>
      </w:r>
      <w:r>
        <w:rPr>
          <w:rFonts w:hint="eastAsia"/>
          <w:color w:val="000000"/>
          <w:sz w:val="24"/>
        </w:rPr>
        <w:t>送选矿厂作生产用水</w:t>
      </w:r>
      <w:r>
        <w:rPr>
          <w:rFonts w:hint="eastAsia"/>
          <w:color w:val="000000"/>
          <w:sz w:val="24"/>
          <w:lang w:eastAsia="zh-CN"/>
        </w:rPr>
        <w:t>。据调查得知，项目实际运行至今，废水产生量较少，全部回用水采矿生产，</w:t>
      </w:r>
      <w:r>
        <w:rPr>
          <w:rFonts w:hint="eastAsia"/>
          <w:color w:val="000000"/>
          <w:sz w:val="24"/>
        </w:rPr>
        <w:t>通过综合利用，该矿生产期间</w:t>
      </w:r>
      <w:r>
        <w:rPr>
          <w:rFonts w:hint="eastAsia"/>
          <w:color w:val="000000"/>
          <w:sz w:val="24"/>
          <w:lang w:eastAsia="zh-CN"/>
        </w:rPr>
        <w:t>废水全部回用，无富余废水用于选矿厂选矿</w:t>
      </w:r>
      <w:r>
        <w:rPr>
          <w:rFonts w:hint="eastAsia"/>
          <w:color w:val="000000"/>
          <w:sz w:val="24"/>
        </w:rPr>
        <w:t>。</w:t>
      </w:r>
    </w:p>
    <w:p>
      <w:pPr>
        <w:pStyle w:val="18"/>
        <w:spacing w:line="360" w:lineRule="auto"/>
        <w:ind w:firstLine="480" w:firstLineChars="200"/>
        <w:rPr>
          <w:rFonts w:hint="default" w:ascii="Times New Roman" w:hAnsi="Times New Roman" w:eastAsia="宋体" w:cs="Times New Roman"/>
          <w:lang w:eastAsia="zh-CN"/>
        </w:rPr>
      </w:pPr>
      <w:r>
        <w:rPr>
          <w:rFonts w:hint="default" w:ascii="Times New Roman" w:hAnsi="Times New Roman" w:cs="Times New Roman"/>
          <w:color w:val="000000"/>
          <w:sz w:val="24"/>
          <w:lang w:eastAsia="zh-CN"/>
        </w:rPr>
        <w:t>项目回用水是通过废水收集系统将废水全部收集至两个沉淀池中，沉淀池接管道，由泵将废水打入位于矿井口上方的高位水池中，</w:t>
      </w:r>
      <w:r>
        <w:rPr>
          <w:rFonts w:hint="eastAsia" w:ascii="Times New Roman" w:hAnsi="Times New Roman" w:cs="Times New Roman"/>
          <w:color w:val="000000"/>
          <w:sz w:val="24"/>
          <w:lang w:eastAsia="zh-CN"/>
        </w:rPr>
        <w:t>水池标高</w:t>
      </w:r>
      <w:r>
        <w:rPr>
          <w:rFonts w:hint="eastAsia" w:ascii="Times New Roman" w:hAnsi="Times New Roman" w:cs="Times New Roman"/>
          <w:color w:val="auto"/>
          <w:sz w:val="24"/>
          <w:lang w:eastAsia="zh-CN"/>
        </w:rPr>
        <w:t>为</w:t>
      </w:r>
      <w:r>
        <w:rPr>
          <w:rFonts w:hint="eastAsia" w:ascii="Times New Roman" w:hAnsi="Times New Roman" w:cs="Times New Roman"/>
          <w:color w:val="auto"/>
          <w:sz w:val="24"/>
          <w:lang w:val="en-US" w:eastAsia="zh-CN"/>
        </w:rPr>
        <w:t>+129m，尺寸为6m×4m×1.5m，</w:t>
      </w:r>
      <w:r>
        <w:rPr>
          <w:rFonts w:hint="default" w:ascii="Times New Roman" w:hAnsi="Times New Roman" w:cs="Times New Roman"/>
          <w:color w:val="auto"/>
          <w:sz w:val="24"/>
          <w:lang w:eastAsia="zh-CN"/>
        </w:rPr>
        <w:t>通过重力使高位水池中的水用于井下生产。同时，高位水池也连接了一根水管进入</w:t>
      </w:r>
      <w:r>
        <w:rPr>
          <w:rFonts w:hint="default" w:ascii="Times New Roman" w:hAnsi="Times New Roman" w:cs="Times New Roman"/>
          <w:color w:val="auto"/>
          <w:sz w:val="24"/>
          <w:lang w:val="en-US" w:eastAsia="zh-CN"/>
        </w:rPr>
        <w:t>1#沉淀池中，防止高位水池中废水过多或废水水质不满足生产使用</w:t>
      </w:r>
      <w:r>
        <w:rPr>
          <w:rFonts w:hint="default" w:ascii="Times New Roman" w:hAnsi="Times New Roman" w:cs="Times New Roman"/>
          <w:color w:val="000000"/>
          <w:sz w:val="24"/>
          <w:lang w:val="en-US" w:eastAsia="zh-CN"/>
        </w:rPr>
        <w:t>条件。</w:t>
      </w:r>
    </w:p>
    <w:p>
      <w:pPr>
        <w:spacing w:line="360" w:lineRule="auto"/>
        <w:ind w:firstLine="480"/>
        <w:rPr>
          <w:rFonts w:hint="eastAsia"/>
          <w:color w:val="000000"/>
          <w:sz w:val="24"/>
          <w:lang w:eastAsia="zh-CN"/>
        </w:rPr>
      </w:pPr>
      <w:r>
        <w:rPr>
          <w:rFonts w:hint="default" w:ascii="Times New Roman" w:hAnsi="Times New Roman" w:cs="Times New Roman"/>
          <w:color w:val="000000"/>
          <w:sz w:val="24"/>
          <w:lang w:eastAsia="zh-CN"/>
        </w:rPr>
        <w:t>项目铅锌矿正下方为黄山岭铅锌矿，本项目</w:t>
      </w:r>
      <w:r>
        <w:rPr>
          <w:rFonts w:hint="eastAsia"/>
          <w:color w:val="000000"/>
          <w:sz w:val="24"/>
          <w:lang w:eastAsia="zh-CN"/>
        </w:rPr>
        <w:t>的废水不会直接下渗继而影响地下水水质，且黄山岭铅锌矿已通过竣工验收，因此本项目对地下水水质基本无影响。</w:t>
      </w:r>
    </w:p>
    <w:p>
      <w:pPr>
        <w:pStyle w:val="18"/>
        <w:spacing w:line="360" w:lineRule="auto"/>
        <w:ind w:firstLine="480" w:firstLineChars="200"/>
        <w:rPr>
          <w:rFonts w:hint="eastAsia"/>
          <w:color w:val="000000"/>
          <w:sz w:val="24"/>
          <w:lang w:eastAsia="zh-CN"/>
        </w:rPr>
      </w:pPr>
      <w:r>
        <w:rPr>
          <w:rFonts w:hint="eastAsia"/>
          <w:color w:val="000000"/>
          <w:sz w:val="24"/>
          <w:lang w:eastAsia="zh-CN"/>
        </w:rPr>
        <w:t>项目从建设至今，无受到任何相关部门的处罚记录，也未接到周边居民的意见和投诉，结合项目现场污染处理措施的建设情况，基本证明项目从建设、竣工、试运行至今无任何偷排废水或污染周边地表水和地下水的行为发生。</w:t>
      </w:r>
    </w:p>
    <w:p>
      <w:pPr>
        <w:ind w:firstLine="241" w:firstLineChars="100"/>
        <w:rPr>
          <w:rFonts w:hint="eastAsia"/>
          <w:b/>
          <w:bCs/>
          <w:lang w:val="en-US" w:eastAsia="zh-CN"/>
        </w:rPr>
      </w:pPr>
      <w:r>
        <w:rPr>
          <w:rFonts w:hint="eastAsia"/>
          <w:b/>
          <w:bCs/>
          <w:lang w:val="en-US" w:eastAsia="zh-CN"/>
        </w:rPr>
        <w:t>4.1.1.2生活污水</w:t>
      </w:r>
    </w:p>
    <w:p>
      <w:pPr>
        <w:spacing w:line="360" w:lineRule="auto"/>
        <w:ind w:firstLine="480"/>
        <w:rPr>
          <w:rFonts w:hint="eastAsia"/>
          <w:color w:val="auto"/>
          <w:sz w:val="24"/>
        </w:rPr>
      </w:pPr>
      <w:r>
        <w:rPr>
          <w:rFonts w:hint="eastAsia"/>
          <w:color w:val="auto"/>
          <w:sz w:val="24"/>
          <w:lang w:eastAsia="zh-CN"/>
        </w:rPr>
        <w:t>工业场地上未设置任何工人生活设施，无卫生间，因此</w:t>
      </w:r>
      <w:r>
        <w:rPr>
          <w:rFonts w:hint="eastAsia"/>
          <w:color w:val="auto"/>
          <w:sz w:val="24"/>
        </w:rPr>
        <w:t>无生活污水排放。</w:t>
      </w:r>
    </w:p>
    <w:p>
      <w:pPr>
        <w:ind w:firstLine="241" w:firstLineChars="100"/>
        <w:rPr>
          <w:rFonts w:hint="eastAsia"/>
          <w:b/>
          <w:bCs/>
          <w:lang w:val="en-US" w:eastAsia="zh-CN"/>
        </w:rPr>
      </w:pPr>
      <w:r>
        <w:rPr>
          <w:rFonts w:hint="eastAsia"/>
          <w:b/>
          <w:bCs/>
          <w:lang w:val="en-US" w:eastAsia="zh-CN"/>
        </w:rPr>
        <w:t>4.1.1.3工业场地雨污分流措施</w:t>
      </w:r>
    </w:p>
    <w:p>
      <w:pPr>
        <w:ind w:left="0" w:leftChars="0" w:firstLine="480" w:firstLineChars="200"/>
        <w:rPr>
          <w:rFonts w:hint="eastAsia"/>
          <w:color w:val="FF0000"/>
          <w:lang w:val="en-US" w:eastAsia="zh-CN"/>
        </w:rPr>
      </w:pPr>
      <w:r>
        <w:rPr>
          <w:rFonts w:hint="eastAsia"/>
          <w:color w:val="000000"/>
          <w:sz w:val="24"/>
        </w:rPr>
        <w:t>工业场地</w:t>
      </w:r>
      <w:r>
        <w:rPr>
          <w:rFonts w:hint="eastAsia"/>
          <w:color w:val="000000"/>
          <w:sz w:val="24"/>
          <w:lang w:eastAsia="zh-CN"/>
        </w:rPr>
        <w:t>实行</w:t>
      </w:r>
      <w:r>
        <w:rPr>
          <w:rFonts w:hint="eastAsia"/>
          <w:color w:val="000000"/>
          <w:sz w:val="24"/>
        </w:rPr>
        <w:t>雨污分流，减轻污水处理设施的运行负荷，在工业场地四周设置</w:t>
      </w:r>
      <w:r>
        <w:rPr>
          <w:rFonts w:hint="eastAsia"/>
          <w:color w:val="000000"/>
          <w:sz w:val="24"/>
          <w:lang w:eastAsia="zh-CN"/>
        </w:rPr>
        <w:t>了</w:t>
      </w:r>
      <w:r>
        <w:rPr>
          <w:rFonts w:hint="eastAsia"/>
          <w:color w:val="000000"/>
          <w:sz w:val="24"/>
        </w:rPr>
        <w:t>0.6m×0.4m截水沟，将外围来水引至下游沟渠，场地内的工业废水</w:t>
      </w:r>
      <w:r>
        <w:rPr>
          <w:rFonts w:hint="eastAsia"/>
          <w:color w:val="000000"/>
          <w:sz w:val="24"/>
          <w:lang w:eastAsia="zh-CN"/>
        </w:rPr>
        <w:t>，即下料仓矿石</w:t>
      </w:r>
      <w:r>
        <w:rPr>
          <w:rFonts w:hint="eastAsia"/>
          <w:color w:val="000000"/>
          <w:sz w:val="24"/>
        </w:rPr>
        <w:t>淋溶水</w:t>
      </w:r>
      <w:r>
        <w:rPr>
          <w:rFonts w:hint="eastAsia"/>
          <w:color w:val="000000"/>
          <w:sz w:val="24"/>
          <w:lang w:eastAsia="zh-CN"/>
        </w:rPr>
        <w:t>和</w:t>
      </w:r>
      <w:r>
        <w:rPr>
          <w:rFonts w:hint="eastAsia"/>
          <w:color w:val="000000"/>
          <w:sz w:val="24"/>
        </w:rPr>
        <w:t>井下涌水集中汇集到废水处理池进行处理。</w:t>
      </w:r>
    </w:p>
    <w:p>
      <w:pPr>
        <w:pStyle w:val="18"/>
        <w:rPr>
          <w:rFonts w:hint="eastAsia" w:eastAsia="宋体"/>
          <w:lang w:eastAsia="zh-CN"/>
        </w:rPr>
      </w:pPr>
      <w:r>
        <w:rPr>
          <w:rFonts w:hint="eastAsia" w:eastAsia="宋体"/>
          <w:lang w:eastAsia="zh-CN"/>
        </w:rPr>
        <w:drawing>
          <wp:inline distT="0" distB="0" distL="114300" distR="114300">
            <wp:extent cx="2586990" cy="2403475"/>
            <wp:effectExtent l="0" t="0" r="3810" b="15875"/>
            <wp:docPr id="29" name="图片 29" descr="淋溶水收集沟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淋溶水收集沟1"/>
                    <pic:cNvPicPr>
                      <a:picLocks noChangeAspect="1"/>
                    </pic:cNvPicPr>
                  </pic:nvPicPr>
                  <pic:blipFill>
                    <a:blip r:embed="rId18"/>
                    <a:srcRect t="9920" b="36554"/>
                    <a:stretch>
                      <a:fillRect/>
                    </a:stretch>
                  </pic:blipFill>
                  <pic:spPr>
                    <a:xfrm>
                      <a:off x="0" y="0"/>
                      <a:ext cx="2586990" cy="2403475"/>
                    </a:xfrm>
                    <a:prstGeom prst="rect">
                      <a:avLst/>
                    </a:prstGeom>
                  </pic:spPr>
                </pic:pic>
              </a:graphicData>
            </a:graphic>
          </wp:inline>
        </w:drawing>
      </w:r>
      <w:r>
        <w:rPr>
          <w:rFonts w:hint="eastAsia"/>
          <w:lang w:val="en-US" w:eastAsia="zh-CN"/>
        </w:rPr>
        <w:t xml:space="preserve">  </w:t>
      </w:r>
      <w:r>
        <w:rPr>
          <w:rFonts w:hint="eastAsia" w:eastAsia="宋体"/>
          <w:lang w:eastAsia="zh-CN"/>
        </w:rPr>
        <w:drawing>
          <wp:inline distT="0" distB="0" distL="114300" distR="114300">
            <wp:extent cx="2481580" cy="2404110"/>
            <wp:effectExtent l="0" t="0" r="13970" b="15240"/>
            <wp:docPr id="73" name="图片 73" descr="淋溶水收集沟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淋溶水收集沟2"/>
                    <pic:cNvPicPr>
                      <a:picLocks noChangeAspect="1"/>
                    </pic:cNvPicPr>
                  </pic:nvPicPr>
                  <pic:blipFill>
                    <a:blip r:embed="rId19"/>
                    <a:srcRect l="2823" t="17324" b="26846"/>
                    <a:stretch>
                      <a:fillRect/>
                    </a:stretch>
                  </pic:blipFill>
                  <pic:spPr>
                    <a:xfrm>
                      <a:off x="0" y="0"/>
                      <a:ext cx="2481580" cy="2404110"/>
                    </a:xfrm>
                    <a:prstGeom prst="rect">
                      <a:avLst/>
                    </a:prstGeom>
                  </pic:spPr>
                </pic:pic>
              </a:graphicData>
            </a:graphic>
          </wp:inline>
        </w:drawing>
      </w:r>
    </w:p>
    <w:p>
      <w:pPr>
        <w:pStyle w:val="18"/>
        <w:jc w:val="center"/>
        <w:rPr>
          <w:rFonts w:hint="default" w:ascii="Times New Roman" w:hAnsi="Times New Roman" w:cs="Times New Roman"/>
          <w:b/>
          <w:bCs/>
          <w:color w:val="FF0000"/>
          <w:sz w:val="21"/>
          <w:szCs w:val="21"/>
          <w:lang w:eastAsia="zh-CN"/>
        </w:rPr>
      </w:pPr>
      <w:r>
        <w:rPr>
          <w:rFonts w:hint="default" w:ascii="Times New Roman" w:hAnsi="Times New Roman" w:cs="Times New Roman"/>
          <w:b/>
          <w:bCs/>
          <w:sz w:val="21"/>
          <w:szCs w:val="21"/>
          <w:lang w:eastAsia="zh-CN"/>
        </w:rPr>
        <w:t>图</w:t>
      </w:r>
      <w:r>
        <w:rPr>
          <w:rFonts w:hint="default" w:ascii="Times New Roman" w:hAnsi="Times New Roman" w:cs="Times New Roman"/>
          <w:b/>
          <w:bCs/>
          <w:sz w:val="21"/>
          <w:szCs w:val="21"/>
          <w:lang w:val="en-US" w:eastAsia="zh-CN"/>
        </w:rPr>
        <w:t xml:space="preserve">4.1-1 </w:t>
      </w:r>
      <w:r>
        <w:rPr>
          <w:rFonts w:hint="default" w:ascii="Times New Roman" w:hAnsi="Times New Roman" w:cs="Times New Roman"/>
          <w:b/>
          <w:bCs/>
          <w:sz w:val="21"/>
          <w:szCs w:val="21"/>
          <w:lang w:eastAsia="zh-CN"/>
        </w:rPr>
        <w:t>项目淋溶水及矿井涌水收集沟</w:t>
      </w:r>
    </w:p>
    <w:p>
      <w:pPr>
        <w:pStyle w:val="18"/>
        <w:jc w:val="center"/>
        <w:rPr>
          <w:rFonts w:hint="eastAsia"/>
          <w:color w:val="FF0000"/>
          <w:sz w:val="21"/>
          <w:szCs w:val="21"/>
          <w:lang w:eastAsia="zh-CN"/>
        </w:rPr>
      </w:pPr>
      <w:r>
        <w:rPr>
          <w:rFonts w:hint="eastAsia"/>
          <w:sz w:val="21"/>
          <w:szCs w:val="21"/>
          <w:lang w:eastAsia="zh-CN"/>
        </w:rPr>
        <w:drawing>
          <wp:inline distT="0" distB="0" distL="114300" distR="114300">
            <wp:extent cx="2568575" cy="2722245"/>
            <wp:effectExtent l="0" t="0" r="3175" b="1905"/>
            <wp:docPr id="1" name="图片 1" descr="IMG_20180205_12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180205_123753"/>
                    <pic:cNvPicPr>
                      <a:picLocks noChangeAspect="1"/>
                    </pic:cNvPicPr>
                  </pic:nvPicPr>
                  <pic:blipFill>
                    <a:blip r:embed="rId20"/>
                    <a:srcRect t="10692" b="29806"/>
                    <a:stretch>
                      <a:fillRect/>
                    </a:stretch>
                  </pic:blipFill>
                  <pic:spPr>
                    <a:xfrm>
                      <a:off x="0" y="0"/>
                      <a:ext cx="2568575" cy="2722245"/>
                    </a:xfrm>
                    <a:prstGeom prst="rect">
                      <a:avLst/>
                    </a:prstGeom>
                  </pic:spPr>
                </pic:pic>
              </a:graphicData>
            </a:graphic>
          </wp:inline>
        </w:drawing>
      </w:r>
      <w:r>
        <w:rPr>
          <w:rFonts w:hint="eastAsia"/>
          <w:sz w:val="21"/>
          <w:szCs w:val="21"/>
          <w:lang w:val="en-US" w:eastAsia="zh-CN"/>
        </w:rPr>
        <w:t xml:space="preserve">  </w:t>
      </w:r>
      <w:r>
        <w:rPr>
          <w:rFonts w:hint="eastAsia"/>
          <w:sz w:val="21"/>
          <w:szCs w:val="21"/>
          <w:lang w:eastAsia="zh-CN"/>
        </w:rPr>
        <w:drawing>
          <wp:inline distT="0" distB="0" distL="114300" distR="114300">
            <wp:extent cx="2519680" cy="2704465"/>
            <wp:effectExtent l="0" t="0" r="13970" b="635"/>
            <wp:docPr id="74" name="图片 74" descr="IMG_20180205_12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IMG_20180205_123956"/>
                    <pic:cNvPicPr>
                      <a:picLocks noChangeAspect="1"/>
                    </pic:cNvPicPr>
                  </pic:nvPicPr>
                  <pic:blipFill>
                    <a:blip r:embed="rId21"/>
                    <a:srcRect t="9987" b="29755"/>
                    <a:stretch>
                      <a:fillRect/>
                    </a:stretch>
                  </pic:blipFill>
                  <pic:spPr>
                    <a:xfrm>
                      <a:off x="0" y="0"/>
                      <a:ext cx="2519680" cy="2704465"/>
                    </a:xfrm>
                    <a:prstGeom prst="rect">
                      <a:avLst/>
                    </a:prstGeom>
                  </pic:spPr>
                </pic:pic>
              </a:graphicData>
            </a:graphic>
          </wp:inline>
        </w:drawing>
      </w:r>
    </w:p>
    <w:p>
      <w:pPr>
        <w:pStyle w:val="18"/>
        <w:jc w:val="center"/>
        <w:rPr>
          <w:rFonts w:hint="default" w:ascii="Times New Roman" w:hAnsi="Times New Roman" w:cs="Times New Roman"/>
          <w:b/>
          <w:bCs/>
          <w:color w:val="FF0000"/>
          <w:sz w:val="21"/>
          <w:szCs w:val="21"/>
          <w:lang w:eastAsia="zh-CN"/>
        </w:rPr>
      </w:pPr>
      <w:r>
        <w:rPr>
          <w:rFonts w:hint="default" w:ascii="Times New Roman" w:hAnsi="Times New Roman" w:cs="Times New Roman"/>
          <w:b/>
          <w:bCs/>
          <w:color w:val="auto"/>
          <w:sz w:val="21"/>
          <w:szCs w:val="21"/>
          <w:lang w:eastAsia="zh-CN"/>
        </w:rPr>
        <w:t>图</w:t>
      </w:r>
      <w:r>
        <w:rPr>
          <w:rFonts w:hint="default" w:ascii="Times New Roman" w:hAnsi="Times New Roman" w:cs="Times New Roman"/>
          <w:b/>
          <w:bCs/>
          <w:color w:val="auto"/>
          <w:sz w:val="21"/>
          <w:szCs w:val="21"/>
          <w:lang w:val="en-US" w:eastAsia="zh-CN"/>
        </w:rPr>
        <w:t xml:space="preserve">4.1-2 </w:t>
      </w:r>
      <w:r>
        <w:rPr>
          <w:rFonts w:hint="default" w:ascii="Times New Roman" w:hAnsi="Times New Roman" w:cs="Times New Roman"/>
          <w:b/>
          <w:bCs/>
          <w:color w:val="auto"/>
          <w:sz w:val="21"/>
          <w:szCs w:val="21"/>
          <w:lang w:eastAsia="zh-CN"/>
        </w:rPr>
        <w:t>世源矿业生产设施</w:t>
      </w:r>
    </w:p>
    <w:p>
      <w:pPr>
        <w:pStyle w:val="5"/>
        <w:rPr>
          <w:rFonts w:hint="eastAsia"/>
          <w:lang w:val="en-US" w:eastAsia="zh-CN"/>
        </w:rPr>
      </w:pPr>
      <w:bookmarkStart w:id="225" w:name="_Toc18153"/>
      <w:bookmarkStart w:id="226" w:name="_Toc26589"/>
      <w:bookmarkStart w:id="227" w:name="_Toc16299"/>
      <w:bookmarkStart w:id="228" w:name="_Toc9442"/>
      <w:bookmarkStart w:id="229" w:name="_Toc11691"/>
      <w:bookmarkStart w:id="230" w:name="_Toc27712"/>
      <w:bookmarkStart w:id="231" w:name="_Toc2092"/>
      <w:bookmarkStart w:id="232" w:name="_Toc468624466"/>
      <w:r>
        <w:rPr>
          <w:rFonts w:hint="eastAsia"/>
          <w:lang w:val="en-US" w:eastAsia="zh-CN"/>
        </w:rPr>
        <w:t>4.1.2废气排放情况及治理措施</w:t>
      </w:r>
      <w:bookmarkEnd w:id="225"/>
      <w:bookmarkEnd w:id="226"/>
      <w:bookmarkEnd w:id="227"/>
      <w:bookmarkEnd w:id="228"/>
      <w:bookmarkEnd w:id="229"/>
      <w:bookmarkEnd w:id="230"/>
      <w:bookmarkEnd w:id="231"/>
      <w:bookmarkEnd w:id="232"/>
    </w:p>
    <w:p>
      <w:pPr>
        <w:tabs>
          <w:tab w:val="left" w:pos="5940"/>
        </w:tabs>
        <w:spacing w:line="360" w:lineRule="auto"/>
        <w:ind w:firstLine="480" w:firstLineChars="200"/>
        <w:rPr>
          <w:rFonts w:hAnsi="宋体"/>
          <w:color w:val="000000"/>
          <w:sz w:val="24"/>
        </w:rPr>
      </w:pPr>
      <w:r>
        <w:rPr>
          <w:rFonts w:hint="eastAsia" w:hAnsi="宋体"/>
          <w:color w:val="000000"/>
          <w:sz w:val="24"/>
        </w:rPr>
        <w:t>本项目</w:t>
      </w:r>
      <w:r>
        <w:rPr>
          <w:rFonts w:hAnsi="宋体"/>
          <w:color w:val="000000"/>
          <w:sz w:val="24"/>
        </w:rPr>
        <w:t>大气污染</w:t>
      </w:r>
      <w:r>
        <w:rPr>
          <w:rFonts w:hint="eastAsia" w:hAnsi="宋体"/>
          <w:color w:val="000000"/>
          <w:sz w:val="24"/>
        </w:rPr>
        <w:t>物</w:t>
      </w:r>
      <w:r>
        <w:rPr>
          <w:rFonts w:hAnsi="宋体"/>
          <w:color w:val="000000"/>
          <w:sz w:val="24"/>
        </w:rPr>
        <w:t>主要有</w:t>
      </w:r>
      <w:r>
        <w:rPr>
          <w:rFonts w:hint="eastAsia" w:hAnsi="宋体"/>
          <w:color w:val="000000"/>
          <w:sz w:val="24"/>
        </w:rPr>
        <w:t>井下采掘粉尘及运输扬尘</w:t>
      </w:r>
      <w:r>
        <w:rPr>
          <w:rFonts w:hAnsi="宋体"/>
          <w:color w:val="000000"/>
          <w:sz w:val="24"/>
        </w:rPr>
        <w:t>等。</w:t>
      </w:r>
    </w:p>
    <w:p>
      <w:pPr>
        <w:ind w:firstLine="241" w:firstLineChars="100"/>
        <w:rPr>
          <w:rFonts w:hint="eastAsia"/>
          <w:b/>
          <w:bCs/>
          <w:lang w:val="en-US" w:eastAsia="zh-CN"/>
        </w:rPr>
      </w:pPr>
      <w:r>
        <w:rPr>
          <w:rFonts w:hint="eastAsia"/>
          <w:b/>
          <w:bCs/>
          <w:lang w:val="en-US" w:eastAsia="zh-CN"/>
        </w:rPr>
        <w:t>4.1.2.1井下采掘粉尘</w:t>
      </w:r>
    </w:p>
    <w:p>
      <w:pPr>
        <w:spacing w:line="360" w:lineRule="auto"/>
        <w:ind w:firstLine="560"/>
        <w:rPr>
          <w:rFonts w:hint="eastAsia" w:hAnsi="宋体"/>
          <w:color w:val="000000"/>
          <w:sz w:val="24"/>
          <w:lang w:eastAsia="zh-CN"/>
        </w:rPr>
      </w:pPr>
      <w:r>
        <w:rPr>
          <w:rFonts w:hAnsi="宋体"/>
          <w:color w:val="000000"/>
          <w:sz w:val="24"/>
        </w:rPr>
        <w:t>坑内掘进与回采作业均采取湿式凿岩、爆堆喷雾洒水、产生粉尘的各作业点安装喷雾洒水装置抑尘。</w:t>
      </w:r>
      <w:r>
        <w:rPr>
          <w:rFonts w:hint="eastAsia" w:hAnsi="宋体"/>
          <w:color w:val="000000"/>
          <w:sz w:val="24"/>
          <w:lang w:eastAsia="zh-CN"/>
        </w:rPr>
        <w:t>湿式凿岩的具体方式为用水管将高位水池引入井下开采区，井下水管连接在凿岩机上，凿岩机启动凿岩的同时，水管也会喷水加湿，有效降低采掘产生的粉尘。</w:t>
      </w:r>
      <w:r>
        <w:rPr>
          <w:rFonts w:hAnsi="宋体"/>
          <w:color w:val="000000"/>
          <w:sz w:val="24"/>
        </w:rPr>
        <w:t>矿井主要入风井巷定期清洗岩壁，防止二次扬尘污染。</w:t>
      </w:r>
      <w:r>
        <w:rPr>
          <w:rFonts w:hint="default" w:ascii="Times New Roman" w:hAnsi="Times New Roman" w:cs="Times New Roman"/>
          <w:color w:val="auto"/>
          <w:sz w:val="24"/>
        </w:rPr>
        <w:t>矿</w:t>
      </w:r>
      <w:r>
        <w:rPr>
          <w:rFonts w:hint="eastAsia" w:cs="Times New Roman"/>
          <w:color w:val="auto"/>
          <w:sz w:val="24"/>
          <w:lang w:eastAsia="zh-CN"/>
        </w:rPr>
        <w:t>井</w:t>
      </w:r>
      <w:r>
        <w:rPr>
          <w:rFonts w:hint="default" w:ascii="Times New Roman" w:hAnsi="Times New Roman" w:cs="Times New Roman"/>
          <w:color w:val="auto"/>
          <w:sz w:val="24"/>
        </w:rPr>
        <w:t>采用对角抽出式通风方式。其中，Ⅰ号矿体为人行通风井进风，1号斜井出风；Ⅳ号矿体为主斜井进风，1号斜井（北翼）和南翼通风斜井出风</w:t>
      </w:r>
      <w:r>
        <w:rPr>
          <w:rFonts w:hint="eastAsia" w:cs="Times New Roman"/>
          <w:color w:val="auto"/>
          <w:sz w:val="24"/>
          <w:lang w:eastAsia="zh-CN"/>
        </w:rPr>
        <w:t>，通风口的位置在地表作业区边缘，也算入区域内，排出的污风属于无组织排放，由植被阻挡吸附，</w:t>
      </w:r>
      <w:r>
        <w:rPr>
          <w:rFonts w:hint="eastAsia" w:hAnsi="宋体"/>
          <w:color w:val="auto"/>
          <w:sz w:val="24"/>
          <w:lang w:eastAsia="zh-CN"/>
        </w:rPr>
        <w:t>对周边大气环境影</w:t>
      </w:r>
      <w:r>
        <w:rPr>
          <w:rFonts w:hint="eastAsia" w:hAnsi="宋体"/>
          <w:color w:val="000000"/>
          <w:sz w:val="24"/>
          <w:lang w:eastAsia="zh-CN"/>
        </w:rPr>
        <w:t>响较小。</w:t>
      </w:r>
    </w:p>
    <w:p>
      <w:pPr>
        <w:pStyle w:val="18"/>
        <w:spacing w:line="360" w:lineRule="auto"/>
        <w:rPr>
          <w:rFonts w:hint="eastAsia" w:hAnsi="宋体"/>
          <w:color w:val="000000"/>
          <w:sz w:val="24"/>
          <w:lang w:eastAsia="zh-CN"/>
        </w:rPr>
      </w:pPr>
      <w:r>
        <w:rPr>
          <w:rFonts w:hint="eastAsia" w:hAnsi="宋体"/>
          <w:color w:val="000000"/>
          <w:sz w:val="24"/>
          <w:lang w:eastAsia="zh-CN"/>
        </w:rPr>
        <w:drawing>
          <wp:inline distT="0" distB="0" distL="114300" distR="114300">
            <wp:extent cx="2458085" cy="2312670"/>
            <wp:effectExtent l="0" t="0" r="18415" b="11430"/>
            <wp:docPr id="102" name="图片 102" descr="KN5$4$_%$AUG9Z0ZG`MD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KN5$4$_%$AUG9Z0ZG`MD5]A"/>
                    <pic:cNvPicPr>
                      <a:picLocks noChangeAspect="1"/>
                    </pic:cNvPicPr>
                  </pic:nvPicPr>
                  <pic:blipFill>
                    <a:blip r:embed="rId22"/>
                    <a:srcRect b="47196"/>
                    <a:stretch>
                      <a:fillRect/>
                    </a:stretch>
                  </pic:blipFill>
                  <pic:spPr>
                    <a:xfrm>
                      <a:off x="0" y="0"/>
                      <a:ext cx="2458085" cy="2312670"/>
                    </a:xfrm>
                    <a:prstGeom prst="rect">
                      <a:avLst/>
                    </a:prstGeom>
                  </pic:spPr>
                </pic:pic>
              </a:graphicData>
            </a:graphic>
          </wp:inline>
        </w:drawing>
      </w:r>
      <w:r>
        <w:rPr>
          <w:rFonts w:hint="eastAsia" w:hAnsi="宋体"/>
          <w:color w:val="000000"/>
          <w:sz w:val="24"/>
          <w:lang w:val="en-US" w:eastAsia="zh-CN"/>
        </w:rPr>
        <w:t xml:space="preserve">  </w:t>
      </w:r>
      <w:r>
        <w:rPr>
          <w:rFonts w:hint="eastAsia" w:hAnsi="宋体"/>
          <w:color w:val="000000"/>
          <w:sz w:val="24"/>
          <w:lang w:eastAsia="zh-CN"/>
        </w:rPr>
        <w:drawing>
          <wp:inline distT="0" distB="0" distL="114300" distR="114300">
            <wp:extent cx="2498725" cy="2321560"/>
            <wp:effectExtent l="0" t="0" r="15875" b="2540"/>
            <wp:docPr id="103" name="图片 103" descr="(RKXZY53KVEKTONVX2]8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RKXZY53KVEKTONVX2]8A[B"/>
                    <pic:cNvPicPr>
                      <a:picLocks noChangeAspect="1"/>
                    </pic:cNvPicPr>
                  </pic:nvPicPr>
                  <pic:blipFill>
                    <a:blip r:embed="rId23"/>
                    <a:srcRect l="22277" r="17298"/>
                    <a:stretch>
                      <a:fillRect/>
                    </a:stretch>
                  </pic:blipFill>
                  <pic:spPr>
                    <a:xfrm>
                      <a:off x="0" y="0"/>
                      <a:ext cx="2498725" cy="2321560"/>
                    </a:xfrm>
                    <a:prstGeom prst="rect">
                      <a:avLst/>
                    </a:prstGeom>
                  </pic:spPr>
                </pic:pic>
              </a:graphicData>
            </a:graphic>
          </wp:inline>
        </w:drawing>
      </w:r>
    </w:p>
    <w:p>
      <w:pPr>
        <w:pStyle w:val="18"/>
        <w:jc w:val="center"/>
        <w:rPr>
          <w:rFonts w:hint="default" w:ascii="Times New Roman" w:hAnsi="Times New Roman" w:cs="Times New Roman"/>
          <w:b/>
          <w:bCs/>
          <w:color w:val="auto"/>
          <w:sz w:val="21"/>
          <w:szCs w:val="21"/>
          <w:lang w:eastAsia="zh-CN"/>
        </w:rPr>
      </w:pPr>
      <w:r>
        <w:rPr>
          <w:rFonts w:hint="default" w:ascii="Times New Roman" w:hAnsi="Times New Roman" w:cs="Times New Roman"/>
          <w:b/>
          <w:bCs/>
          <w:color w:val="auto"/>
          <w:sz w:val="21"/>
          <w:szCs w:val="21"/>
          <w:lang w:eastAsia="zh-CN"/>
        </w:rPr>
        <w:t>图</w:t>
      </w:r>
      <w:r>
        <w:rPr>
          <w:rFonts w:hint="default" w:ascii="Times New Roman" w:hAnsi="Times New Roman" w:cs="Times New Roman"/>
          <w:b/>
          <w:bCs/>
          <w:color w:val="auto"/>
          <w:sz w:val="21"/>
          <w:szCs w:val="21"/>
          <w:lang w:val="en-US" w:eastAsia="zh-CN"/>
        </w:rPr>
        <w:t xml:space="preserve">4.1-3 </w:t>
      </w:r>
      <w:r>
        <w:rPr>
          <w:rFonts w:hint="default" w:ascii="Times New Roman" w:hAnsi="Times New Roman" w:cs="Times New Roman"/>
          <w:b/>
          <w:bCs/>
          <w:color w:val="auto"/>
          <w:sz w:val="21"/>
          <w:szCs w:val="21"/>
          <w:lang w:eastAsia="zh-CN"/>
        </w:rPr>
        <w:t>两通风口照片</w:t>
      </w:r>
    </w:p>
    <w:p>
      <w:pPr>
        <w:ind w:firstLine="241" w:firstLineChars="100"/>
        <w:rPr>
          <w:rFonts w:hint="eastAsia"/>
          <w:b/>
          <w:bCs/>
          <w:lang w:val="en-US" w:eastAsia="zh-CN"/>
        </w:rPr>
      </w:pPr>
      <w:r>
        <w:rPr>
          <w:rFonts w:hint="eastAsia"/>
          <w:b/>
          <w:bCs/>
          <w:lang w:val="en-US" w:eastAsia="zh-CN"/>
        </w:rPr>
        <w:t>4.1.2.2运输扬尘</w:t>
      </w:r>
    </w:p>
    <w:p>
      <w:pPr>
        <w:tabs>
          <w:tab w:val="left" w:pos="5940"/>
        </w:tabs>
        <w:spacing w:line="360" w:lineRule="auto"/>
        <w:ind w:firstLine="480" w:firstLineChars="200"/>
        <w:rPr>
          <w:rFonts w:hint="eastAsia" w:hAnsi="宋体"/>
          <w:color w:val="000000"/>
          <w:sz w:val="24"/>
          <w:lang w:eastAsia="zh-CN"/>
        </w:rPr>
      </w:pPr>
      <w:r>
        <w:rPr>
          <w:rFonts w:hint="eastAsia" w:hAnsi="宋体"/>
          <w:color w:val="000000"/>
          <w:sz w:val="24"/>
          <w:lang w:eastAsia="zh-CN"/>
        </w:rPr>
        <w:t>矿石运输到下料仓时会产生粉尘，因此对下料仓加盖顶棚，</w:t>
      </w:r>
      <w:r>
        <w:rPr>
          <w:rFonts w:hint="eastAsia" w:hAnsi="宋体"/>
          <w:color w:val="000000" w:themeColor="text1"/>
          <w:sz w:val="24"/>
          <w:lang w:eastAsia="zh-CN"/>
          <w14:textFill>
            <w14:solidFill>
              <w14:schemeClr w14:val="tx1"/>
            </w14:solidFill>
          </w14:textFill>
        </w:rPr>
        <w:t>下料口对矿石进行喷淋处理，喷淋水来源于沉淀池；</w:t>
      </w:r>
      <w:r>
        <w:rPr>
          <w:rFonts w:hint="eastAsia" w:hAnsi="宋体"/>
          <w:color w:val="000000"/>
          <w:sz w:val="24"/>
          <w:lang w:eastAsia="zh-CN"/>
        </w:rPr>
        <w:t>针对</w:t>
      </w:r>
      <w:r>
        <w:rPr>
          <w:rFonts w:hAnsi="宋体"/>
          <w:color w:val="000000"/>
          <w:sz w:val="24"/>
        </w:rPr>
        <w:t>道路运输二次扬尘</w:t>
      </w:r>
      <w:r>
        <w:rPr>
          <w:rFonts w:hint="eastAsia" w:hAnsi="宋体"/>
          <w:color w:val="000000"/>
          <w:sz w:val="24"/>
          <w:lang w:eastAsia="zh-CN"/>
        </w:rPr>
        <w:t>，首先</w:t>
      </w:r>
      <w:r>
        <w:rPr>
          <w:rFonts w:hint="eastAsia" w:hAnsi="宋体"/>
          <w:color w:val="000000" w:themeColor="text1"/>
          <w:sz w:val="24"/>
          <w:lang w:eastAsia="zh-CN"/>
          <w14:textFill>
            <w14:solidFill>
              <w14:schemeClr w14:val="tx1"/>
            </w14:solidFill>
          </w14:textFill>
        </w:rPr>
        <w:t>对</w:t>
      </w:r>
      <w:r>
        <w:rPr>
          <w:rFonts w:hAnsi="宋体"/>
          <w:color w:val="000000" w:themeColor="text1"/>
          <w:sz w:val="24"/>
          <w14:textFill>
            <w14:solidFill>
              <w14:schemeClr w14:val="tx1"/>
            </w14:solidFill>
          </w14:textFill>
        </w:rPr>
        <w:t>道路</w:t>
      </w:r>
      <w:r>
        <w:rPr>
          <w:rFonts w:hint="eastAsia" w:hAnsi="宋体"/>
          <w:color w:val="000000" w:themeColor="text1"/>
          <w:sz w:val="24"/>
          <w:lang w:eastAsia="zh-CN"/>
          <w14:textFill>
            <w14:solidFill>
              <w14:schemeClr w14:val="tx1"/>
            </w14:solidFill>
          </w14:textFill>
        </w:rPr>
        <w:t>进行了硬化和定期</w:t>
      </w:r>
      <w:r>
        <w:rPr>
          <w:rFonts w:hAnsi="宋体"/>
          <w:color w:val="000000" w:themeColor="text1"/>
          <w:sz w:val="24"/>
          <w14:textFill>
            <w14:solidFill>
              <w14:schemeClr w14:val="tx1"/>
            </w14:solidFill>
          </w14:textFill>
        </w:rPr>
        <w:t>养护</w:t>
      </w:r>
      <w:r>
        <w:rPr>
          <w:rFonts w:hint="eastAsia" w:hAnsi="宋体"/>
          <w:color w:val="000000" w:themeColor="text1"/>
          <w:sz w:val="24"/>
          <w:lang w:eastAsia="zh-CN"/>
          <w14:textFill>
            <w14:solidFill>
              <w14:schemeClr w14:val="tx1"/>
            </w14:solidFill>
          </w14:textFill>
        </w:rPr>
        <w:t>，项目地周围是山体，自然植</w:t>
      </w:r>
      <w:r>
        <w:rPr>
          <w:rFonts w:hint="eastAsia" w:hAnsi="宋体"/>
          <w:color w:val="000000"/>
          <w:sz w:val="24"/>
          <w:lang w:eastAsia="zh-CN"/>
        </w:rPr>
        <w:t>被茂盛，形成隔离带，有效地阻留了扬尘，且降低噪声</w:t>
      </w:r>
      <w:r>
        <w:rPr>
          <w:rFonts w:hAnsi="宋体"/>
          <w:color w:val="000000"/>
          <w:sz w:val="24"/>
        </w:rPr>
        <w:t>；</w:t>
      </w:r>
      <w:r>
        <w:rPr>
          <w:rFonts w:hint="eastAsia" w:hAnsi="宋体"/>
          <w:color w:val="000000"/>
          <w:sz w:val="24"/>
          <w:lang w:eastAsia="zh-CN"/>
        </w:rPr>
        <w:t>项目产量较小，运输使用的均是农用小型车，在运输道路上又严格</w:t>
      </w:r>
      <w:r>
        <w:rPr>
          <w:rFonts w:hAnsi="宋体"/>
          <w:color w:val="000000"/>
          <w:sz w:val="24"/>
        </w:rPr>
        <w:t>限制</w:t>
      </w:r>
      <w:r>
        <w:rPr>
          <w:rFonts w:hint="eastAsia" w:hAnsi="宋体"/>
          <w:color w:val="000000"/>
          <w:sz w:val="24"/>
          <w:lang w:eastAsia="zh-CN"/>
        </w:rPr>
        <w:t>了</w:t>
      </w:r>
      <w:r>
        <w:rPr>
          <w:rFonts w:hAnsi="宋体"/>
          <w:color w:val="000000"/>
          <w:sz w:val="24"/>
        </w:rPr>
        <w:t>车速。</w:t>
      </w:r>
      <w:r>
        <w:rPr>
          <w:rFonts w:hint="eastAsia" w:hAnsi="宋体"/>
          <w:color w:val="000000"/>
          <w:sz w:val="24"/>
          <w:lang w:eastAsia="zh-CN"/>
        </w:rPr>
        <w:t>因此运输扬尘很小，未配备洒水车，对周边环境影响较小。</w:t>
      </w:r>
    </w:p>
    <w:p>
      <w:pPr>
        <w:pStyle w:val="2"/>
        <w:jc w:val="center"/>
        <w:rPr>
          <w:rFonts w:hint="eastAsia" w:hAnsi="宋体"/>
          <w:b/>
          <w:bCs/>
          <w:color w:val="000000"/>
          <w:sz w:val="21"/>
          <w:szCs w:val="21"/>
          <w:lang w:eastAsia="zh-CN"/>
        </w:rPr>
      </w:pPr>
      <w:r>
        <w:rPr>
          <w:rFonts w:hint="eastAsia" w:hAnsi="宋体"/>
          <w:b/>
          <w:bCs/>
          <w:color w:val="000000"/>
          <w:sz w:val="21"/>
          <w:szCs w:val="21"/>
          <w:lang w:eastAsia="zh-CN"/>
        </w:rPr>
        <w:drawing>
          <wp:inline distT="0" distB="0" distL="114300" distR="114300">
            <wp:extent cx="2478405" cy="2328545"/>
            <wp:effectExtent l="0" t="0" r="17145" b="14605"/>
            <wp:docPr id="144" name="图片 1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1"/>
                    <pic:cNvPicPr>
                      <a:picLocks noChangeAspect="1"/>
                    </pic:cNvPicPr>
                  </pic:nvPicPr>
                  <pic:blipFill>
                    <a:blip r:embed="rId24"/>
                    <a:srcRect l="5769" t="35668" b="12252"/>
                    <a:stretch>
                      <a:fillRect/>
                    </a:stretch>
                  </pic:blipFill>
                  <pic:spPr>
                    <a:xfrm>
                      <a:off x="0" y="0"/>
                      <a:ext cx="2478405" cy="2328545"/>
                    </a:xfrm>
                    <a:prstGeom prst="rect">
                      <a:avLst/>
                    </a:prstGeom>
                  </pic:spPr>
                </pic:pic>
              </a:graphicData>
            </a:graphic>
          </wp:inline>
        </w:drawing>
      </w:r>
      <w:r>
        <w:rPr>
          <w:rFonts w:hint="eastAsia" w:hAnsi="宋体"/>
          <w:b/>
          <w:bCs/>
          <w:color w:val="000000"/>
          <w:sz w:val="21"/>
          <w:szCs w:val="21"/>
          <w:lang w:val="en-US" w:eastAsia="zh-CN"/>
        </w:rPr>
        <w:t xml:space="preserve">  </w:t>
      </w:r>
      <w:r>
        <w:rPr>
          <w:rFonts w:hint="eastAsia" w:hAnsi="宋体"/>
          <w:b/>
          <w:bCs/>
          <w:color w:val="000000"/>
          <w:sz w:val="21"/>
          <w:szCs w:val="21"/>
          <w:lang w:eastAsia="zh-CN"/>
        </w:rPr>
        <w:drawing>
          <wp:inline distT="0" distB="0" distL="114300" distR="114300">
            <wp:extent cx="2495550" cy="2326640"/>
            <wp:effectExtent l="0" t="0" r="0" b="16510"/>
            <wp:docPr id="123" name="图片 12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23"/>
                    <pic:cNvPicPr>
                      <a:picLocks noChangeAspect="1"/>
                    </pic:cNvPicPr>
                  </pic:nvPicPr>
                  <pic:blipFill>
                    <a:blip r:embed="rId25"/>
                    <a:srcRect l="23440" r="19874"/>
                    <a:stretch>
                      <a:fillRect/>
                    </a:stretch>
                  </pic:blipFill>
                  <pic:spPr>
                    <a:xfrm>
                      <a:off x="0" y="0"/>
                      <a:ext cx="2495550" cy="2326640"/>
                    </a:xfrm>
                    <a:prstGeom prst="rect">
                      <a:avLst/>
                    </a:prstGeom>
                  </pic:spPr>
                </pic:pic>
              </a:graphicData>
            </a:graphic>
          </wp:inline>
        </w:drawing>
      </w:r>
    </w:p>
    <w:p>
      <w:pPr>
        <w:pStyle w:val="2"/>
        <w:jc w:val="center"/>
        <w:rPr>
          <w:b/>
          <w:bCs/>
          <w:sz w:val="21"/>
          <w:szCs w:val="21"/>
          <w:lang w:val="en-US"/>
        </w:rPr>
      </w:pPr>
      <w:r>
        <w:rPr>
          <w:rFonts w:hint="eastAsia" w:hAnsi="宋体"/>
          <w:b/>
          <w:bCs/>
          <w:color w:val="000000"/>
          <w:sz w:val="21"/>
          <w:szCs w:val="21"/>
          <w:lang w:eastAsia="zh-CN"/>
        </w:rPr>
        <w:t>图</w:t>
      </w:r>
      <w:r>
        <w:rPr>
          <w:rFonts w:hint="eastAsia" w:hAnsi="宋体"/>
          <w:b/>
          <w:bCs/>
          <w:color w:val="000000"/>
          <w:sz w:val="21"/>
          <w:szCs w:val="21"/>
          <w:lang w:val="en-US" w:eastAsia="zh-CN"/>
        </w:rPr>
        <w:t>4.1-4 下料仓喷淋处照片</w:t>
      </w:r>
    </w:p>
    <w:p>
      <w:pPr>
        <w:ind w:firstLine="211" w:firstLineChars="100"/>
        <w:jc w:val="center"/>
        <w:rPr>
          <w:rFonts w:hint="eastAsia" w:hAnsi="宋体"/>
          <w:b/>
          <w:bCs/>
          <w:color w:val="000000"/>
          <w:sz w:val="21"/>
          <w:szCs w:val="21"/>
          <w:lang w:eastAsia="zh-CN"/>
        </w:rPr>
      </w:pPr>
      <w:r>
        <w:rPr>
          <w:rFonts w:hint="eastAsia" w:hAnsi="宋体"/>
          <w:b/>
          <w:bCs/>
          <w:color w:val="000000"/>
          <w:sz w:val="21"/>
          <w:szCs w:val="21"/>
          <w:lang w:eastAsia="zh-CN"/>
        </w:rPr>
        <w:drawing>
          <wp:inline distT="0" distB="0" distL="114300" distR="114300">
            <wp:extent cx="2450465" cy="3161030"/>
            <wp:effectExtent l="0" t="0" r="6985" b="1270"/>
            <wp:docPr id="146" name="图片 146" descr="4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44444"/>
                    <pic:cNvPicPr>
                      <a:picLocks noChangeAspect="1"/>
                    </pic:cNvPicPr>
                  </pic:nvPicPr>
                  <pic:blipFill>
                    <a:blip r:embed="rId26"/>
                    <a:srcRect t="11137" b="20418"/>
                    <a:stretch>
                      <a:fillRect/>
                    </a:stretch>
                  </pic:blipFill>
                  <pic:spPr>
                    <a:xfrm>
                      <a:off x="0" y="0"/>
                      <a:ext cx="2450465" cy="3161030"/>
                    </a:xfrm>
                    <a:prstGeom prst="rect">
                      <a:avLst/>
                    </a:prstGeom>
                  </pic:spPr>
                </pic:pic>
              </a:graphicData>
            </a:graphic>
          </wp:inline>
        </w:drawing>
      </w:r>
      <w:r>
        <w:rPr>
          <w:rFonts w:hint="eastAsia" w:hAnsi="宋体"/>
          <w:b/>
          <w:bCs/>
          <w:color w:val="000000"/>
          <w:sz w:val="21"/>
          <w:szCs w:val="21"/>
          <w:lang w:val="en-US" w:eastAsia="zh-CN"/>
        </w:rPr>
        <w:t xml:space="preserve">  </w:t>
      </w:r>
      <w:r>
        <w:rPr>
          <w:rFonts w:hint="eastAsia" w:hAnsi="宋体"/>
          <w:b/>
          <w:bCs/>
          <w:color w:val="000000"/>
          <w:sz w:val="21"/>
          <w:szCs w:val="21"/>
          <w:lang w:eastAsia="zh-CN"/>
        </w:rPr>
        <w:drawing>
          <wp:inline distT="0" distB="0" distL="114300" distR="114300">
            <wp:extent cx="2453005" cy="3125470"/>
            <wp:effectExtent l="0" t="0" r="4445" b="17780"/>
            <wp:docPr id="145" name="图片 145" descr="555555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5555555555"/>
                    <pic:cNvPicPr>
                      <a:picLocks noChangeAspect="1"/>
                    </pic:cNvPicPr>
                  </pic:nvPicPr>
                  <pic:blipFill>
                    <a:blip r:embed="rId27"/>
                    <a:srcRect t="25277"/>
                    <a:stretch>
                      <a:fillRect/>
                    </a:stretch>
                  </pic:blipFill>
                  <pic:spPr>
                    <a:xfrm>
                      <a:off x="0" y="0"/>
                      <a:ext cx="2453005" cy="3125470"/>
                    </a:xfrm>
                    <a:prstGeom prst="rect">
                      <a:avLst/>
                    </a:prstGeom>
                  </pic:spPr>
                </pic:pic>
              </a:graphicData>
            </a:graphic>
          </wp:inline>
        </w:drawing>
      </w:r>
    </w:p>
    <w:p>
      <w:pPr>
        <w:ind w:firstLine="211" w:firstLineChars="100"/>
        <w:jc w:val="center"/>
        <w:rPr>
          <w:rFonts w:hint="eastAsia"/>
          <w:b/>
          <w:bCs/>
          <w:lang w:val="en-US" w:eastAsia="zh-CN"/>
        </w:rPr>
      </w:pPr>
      <w:r>
        <w:rPr>
          <w:rFonts w:hint="eastAsia" w:hAnsi="宋体"/>
          <w:b/>
          <w:bCs/>
          <w:color w:val="000000"/>
          <w:sz w:val="21"/>
          <w:szCs w:val="21"/>
          <w:lang w:eastAsia="zh-CN"/>
        </w:rPr>
        <w:t>图</w:t>
      </w:r>
      <w:r>
        <w:rPr>
          <w:rFonts w:hint="eastAsia" w:hAnsi="宋体"/>
          <w:b/>
          <w:bCs/>
          <w:color w:val="000000"/>
          <w:sz w:val="21"/>
          <w:szCs w:val="21"/>
          <w:lang w:val="en-US" w:eastAsia="zh-CN"/>
        </w:rPr>
        <w:t>4.1-5 道路硬化及路旁绿化照片</w:t>
      </w:r>
    </w:p>
    <w:p>
      <w:pPr>
        <w:ind w:firstLine="241" w:firstLineChars="100"/>
        <w:rPr>
          <w:rFonts w:hint="eastAsia"/>
          <w:b/>
          <w:bCs/>
          <w:lang w:val="en-US" w:eastAsia="zh-CN"/>
        </w:rPr>
      </w:pPr>
      <w:r>
        <w:rPr>
          <w:rFonts w:hint="eastAsia"/>
          <w:b/>
          <w:bCs/>
          <w:lang w:val="en-US" w:eastAsia="zh-CN"/>
        </w:rPr>
        <w:t>4.1.2.3爆破烟雾抑制</w:t>
      </w:r>
    </w:p>
    <w:p>
      <w:pPr>
        <w:tabs>
          <w:tab w:val="left" w:pos="5940"/>
        </w:tabs>
        <w:spacing w:line="360" w:lineRule="auto"/>
        <w:ind w:firstLine="480" w:firstLineChars="200"/>
        <w:rPr>
          <w:rFonts w:hint="eastAsia"/>
          <w:color w:val="FF0000"/>
          <w:lang w:val="en-US" w:eastAsia="zh-CN"/>
        </w:rPr>
      </w:pPr>
      <w:r>
        <w:rPr>
          <w:rFonts w:hint="eastAsia" w:hAnsi="宋体"/>
          <w:color w:val="000000"/>
          <w:sz w:val="24"/>
        </w:rPr>
        <w:t>井下爆破产生的烟气，在井下通过洒水和通风稀释后，其烟气浓度稀释到可见度时，工人进入工作面作业；因此，爆破产生的烟气通过洒水和通风稀释后，其烟气浓度就比较低，再由回风井排放到地面井口附近，对区域大气环境影响较小。</w:t>
      </w:r>
    </w:p>
    <w:p>
      <w:pPr>
        <w:pStyle w:val="5"/>
        <w:rPr>
          <w:rFonts w:hint="eastAsia"/>
          <w:lang w:val="en-US" w:eastAsia="zh-CN"/>
        </w:rPr>
      </w:pPr>
      <w:bookmarkStart w:id="233" w:name="_Toc4442"/>
      <w:bookmarkStart w:id="234" w:name="_Toc22302"/>
      <w:bookmarkStart w:id="235" w:name="_Toc5843"/>
      <w:bookmarkStart w:id="236" w:name="_Toc32161"/>
      <w:bookmarkStart w:id="237" w:name="_Toc27960"/>
      <w:bookmarkStart w:id="238" w:name="_Toc468624467"/>
      <w:bookmarkStart w:id="239" w:name="_Toc28117"/>
      <w:bookmarkStart w:id="240" w:name="_Toc3738"/>
      <w:r>
        <w:rPr>
          <w:rFonts w:hint="eastAsia"/>
          <w:lang w:val="en-US" w:eastAsia="zh-CN"/>
        </w:rPr>
        <w:t>4.1.3</w:t>
      </w:r>
      <w:bookmarkEnd w:id="233"/>
      <w:bookmarkEnd w:id="234"/>
      <w:bookmarkEnd w:id="235"/>
      <w:bookmarkEnd w:id="236"/>
      <w:bookmarkEnd w:id="237"/>
      <w:bookmarkEnd w:id="238"/>
      <w:bookmarkEnd w:id="239"/>
      <w:bookmarkEnd w:id="240"/>
      <w:r>
        <w:rPr>
          <w:rFonts w:hint="eastAsia"/>
          <w:lang w:val="en-US" w:eastAsia="zh-CN"/>
        </w:rPr>
        <w:t>噪声治理措施</w:t>
      </w:r>
    </w:p>
    <w:p>
      <w:pPr>
        <w:ind w:firstLine="241" w:firstLineChars="100"/>
        <w:rPr>
          <w:rFonts w:hint="eastAsia"/>
          <w:b/>
          <w:bCs/>
          <w:lang w:val="en-US" w:eastAsia="zh-CN"/>
        </w:rPr>
      </w:pPr>
      <w:r>
        <w:rPr>
          <w:rFonts w:hint="eastAsia"/>
          <w:b/>
          <w:bCs/>
          <w:lang w:val="en-US" w:eastAsia="zh-CN"/>
        </w:rPr>
        <w:t>4.1.3.1设备噪声控制</w:t>
      </w:r>
    </w:p>
    <w:p>
      <w:pPr>
        <w:spacing w:line="360" w:lineRule="auto"/>
        <w:ind w:firstLine="480"/>
        <w:rPr>
          <w:rFonts w:hint="eastAsia"/>
          <w:color w:val="000000"/>
          <w:sz w:val="24"/>
        </w:rPr>
      </w:pPr>
      <w:r>
        <w:rPr>
          <w:color w:val="000000"/>
          <w:sz w:val="24"/>
        </w:rPr>
        <w:t>本工程主要设备噪声源</w:t>
      </w:r>
      <w:r>
        <w:rPr>
          <w:rFonts w:hint="eastAsia"/>
          <w:color w:val="000000"/>
          <w:sz w:val="24"/>
        </w:rPr>
        <w:t>为矿井营运期的提升机、空气压缩机、轴流式风机等</w:t>
      </w:r>
      <w:r>
        <w:rPr>
          <w:color w:val="000000"/>
          <w:sz w:val="24"/>
        </w:rPr>
        <w:t>。</w:t>
      </w:r>
    </w:p>
    <w:p>
      <w:pPr>
        <w:spacing w:line="360" w:lineRule="auto"/>
        <w:ind w:firstLine="480"/>
        <w:rPr>
          <w:color w:val="000000"/>
          <w:sz w:val="24"/>
        </w:rPr>
      </w:pPr>
      <w:r>
        <w:rPr>
          <w:color w:val="000000"/>
          <w:sz w:val="24"/>
        </w:rPr>
        <w:t>1</w:t>
      </w:r>
      <w:r>
        <w:rPr>
          <w:rFonts w:hint="eastAsia" w:ascii="宋体" w:hAnsi="宋体" w:eastAsia="宋体" w:cs="宋体"/>
          <w:color w:val="000000"/>
          <w:sz w:val="24"/>
          <w:lang w:val="en-US" w:eastAsia="zh-CN"/>
        </w:rPr>
        <w:t>.</w:t>
      </w:r>
      <w:r>
        <w:rPr>
          <w:color w:val="000000"/>
          <w:sz w:val="24"/>
        </w:rPr>
        <w:t>提升机房噪声控制</w:t>
      </w:r>
    </w:p>
    <w:p>
      <w:pPr>
        <w:spacing w:line="360" w:lineRule="auto"/>
        <w:ind w:firstLine="480"/>
        <w:rPr>
          <w:color w:val="000000"/>
          <w:sz w:val="24"/>
        </w:rPr>
      </w:pPr>
      <w:r>
        <w:rPr>
          <w:color w:val="000000"/>
          <w:sz w:val="24"/>
        </w:rPr>
        <w:t>提升机房噪声控制措施：</w:t>
      </w:r>
      <w:r>
        <w:rPr>
          <w:rFonts w:hint="eastAsia"/>
          <w:color w:val="000000"/>
          <w:sz w:val="24"/>
          <w:lang w:eastAsia="zh-CN"/>
        </w:rPr>
        <w:t>（</w:t>
      </w:r>
      <w:r>
        <w:rPr>
          <w:rFonts w:hint="eastAsia"/>
          <w:color w:val="000000"/>
          <w:sz w:val="24"/>
          <w:lang w:val="en-US" w:eastAsia="zh-CN"/>
        </w:rPr>
        <w:t>1</w:t>
      </w:r>
      <w:r>
        <w:rPr>
          <w:rFonts w:hint="eastAsia"/>
          <w:color w:val="000000"/>
          <w:sz w:val="24"/>
          <w:lang w:eastAsia="zh-CN"/>
        </w:rPr>
        <w:t>）</w:t>
      </w:r>
      <w:r>
        <w:rPr>
          <w:color w:val="000000"/>
          <w:sz w:val="24"/>
        </w:rPr>
        <w:t>驱动装置和电动机设置</w:t>
      </w:r>
      <w:r>
        <w:rPr>
          <w:rFonts w:hint="eastAsia"/>
          <w:color w:val="000000"/>
          <w:sz w:val="24"/>
          <w:lang w:eastAsia="zh-CN"/>
        </w:rPr>
        <w:t>了</w:t>
      </w:r>
      <w:r>
        <w:rPr>
          <w:color w:val="000000"/>
          <w:sz w:val="24"/>
        </w:rPr>
        <w:t>减振基础；</w:t>
      </w:r>
      <w:r>
        <w:rPr>
          <w:rFonts w:hint="eastAsia"/>
          <w:color w:val="000000"/>
          <w:sz w:val="24"/>
          <w:lang w:eastAsia="zh-CN"/>
        </w:rPr>
        <w:t>（</w:t>
      </w:r>
      <w:r>
        <w:rPr>
          <w:rFonts w:hint="eastAsia"/>
          <w:color w:val="000000"/>
          <w:sz w:val="24"/>
          <w:lang w:val="en-US" w:eastAsia="zh-CN"/>
        </w:rPr>
        <w:t>2</w:t>
      </w:r>
      <w:r>
        <w:rPr>
          <w:rFonts w:hint="eastAsia"/>
          <w:color w:val="000000"/>
          <w:sz w:val="24"/>
          <w:lang w:eastAsia="zh-CN"/>
        </w:rPr>
        <w:t>）</w:t>
      </w:r>
      <w:r>
        <w:rPr>
          <w:color w:val="000000"/>
          <w:sz w:val="24"/>
        </w:rPr>
        <w:t>提升机头安装</w:t>
      </w:r>
      <w:r>
        <w:rPr>
          <w:rFonts w:hint="eastAsia"/>
          <w:color w:val="000000"/>
          <w:sz w:val="24"/>
          <w:lang w:eastAsia="zh-CN"/>
        </w:rPr>
        <w:t>了</w:t>
      </w:r>
      <w:r>
        <w:rPr>
          <w:color w:val="000000"/>
          <w:sz w:val="24"/>
        </w:rPr>
        <w:t>可拆式钢板结构隔声箱，钢板内侧涂阻尼材料并衬吸声材料；</w:t>
      </w:r>
      <w:r>
        <w:rPr>
          <w:rFonts w:hint="eastAsia"/>
          <w:color w:val="000000"/>
          <w:sz w:val="24"/>
          <w:lang w:eastAsia="zh-CN"/>
        </w:rPr>
        <w:t>（</w:t>
      </w:r>
      <w:r>
        <w:rPr>
          <w:rFonts w:hint="eastAsia"/>
          <w:color w:val="000000"/>
          <w:sz w:val="24"/>
          <w:lang w:val="en-US" w:eastAsia="zh-CN"/>
        </w:rPr>
        <w:t>3</w:t>
      </w:r>
      <w:r>
        <w:rPr>
          <w:rFonts w:hint="eastAsia"/>
          <w:color w:val="000000"/>
          <w:sz w:val="24"/>
          <w:lang w:eastAsia="zh-CN"/>
        </w:rPr>
        <w:t>）</w:t>
      </w:r>
      <w:r>
        <w:rPr>
          <w:color w:val="000000"/>
          <w:sz w:val="24"/>
        </w:rPr>
        <w:t>提升机房内墙、顶棚铺设</w:t>
      </w:r>
      <w:r>
        <w:rPr>
          <w:rFonts w:hint="eastAsia"/>
          <w:color w:val="000000"/>
          <w:sz w:val="24"/>
          <w:lang w:eastAsia="zh-CN"/>
        </w:rPr>
        <w:t>了</w:t>
      </w:r>
      <w:r>
        <w:rPr>
          <w:color w:val="000000"/>
          <w:sz w:val="24"/>
        </w:rPr>
        <w:t>吸声结构材料，门窗采用密封性能和隔声效果较好的塑钢门窗。</w:t>
      </w:r>
      <w:r>
        <w:rPr>
          <w:rFonts w:hint="eastAsia" w:ascii="宋体" w:hAnsi="宋体"/>
          <w:color w:val="000000"/>
          <w:sz w:val="24"/>
          <w:lang w:eastAsia="zh-CN"/>
        </w:rPr>
        <w:t>有效</w:t>
      </w:r>
      <w:r>
        <w:rPr>
          <w:rFonts w:hint="eastAsia" w:ascii="宋体" w:hAnsi="宋体"/>
          <w:color w:val="000000"/>
          <w:sz w:val="24"/>
        </w:rPr>
        <w:t>降低噪声</w:t>
      </w:r>
      <w:r>
        <w:rPr>
          <w:rFonts w:hint="eastAsia" w:ascii="Times New Roman" w:hAnsi="Times New Roman" w:cs="Times New Roman"/>
          <w:color w:val="000000"/>
          <w:sz w:val="24"/>
          <w:lang w:eastAsia="zh-CN"/>
        </w:rPr>
        <w:t>，</w:t>
      </w:r>
      <w:r>
        <w:rPr>
          <w:rFonts w:hint="eastAsia" w:ascii="宋体" w:hAnsi="宋体"/>
          <w:color w:val="000000"/>
          <w:sz w:val="24"/>
          <w:lang w:eastAsia="zh-CN"/>
        </w:rPr>
        <w:t>对周边环境影响明显减小。</w:t>
      </w:r>
    </w:p>
    <w:p>
      <w:pPr>
        <w:spacing w:line="360" w:lineRule="auto"/>
        <w:ind w:firstLine="480"/>
        <w:rPr>
          <w:color w:val="000000"/>
          <w:sz w:val="24"/>
        </w:rPr>
      </w:pPr>
      <w:r>
        <w:rPr>
          <w:color w:val="000000"/>
          <w:sz w:val="24"/>
        </w:rPr>
        <w:t>2</w:t>
      </w:r>
      <w:r>
        <w:rPr>
          <w:rFonts w:hint="eastAsia" w:ascii="宋体" w:hAnsi="宋体" w:eastAsia="宋体" w:cs="宋体"/>
          <w:color w:val="000000"/>
          <w:sz w:val="24"/>
          <w:lang w:val="en-US" w:eastAsia="zh-CN"/>
        </w:rPr>
        <w:t>.</w:t>
      </w:r>
      <w:r>
        <w:rPr>
          <w:color w:val="000000"/>
          <w:sz w:val="24"/>
        </w:rPr>
        <w:t>空压机房噪声控制</w:t>
      </w:r>
    </w:p>
    <w:p>
      <w:pPr>
        <w:spacing w:line="360" w:lineRule="auto"/>
        <w:ind w:firstLine="480"/>
        <w:rPr>
          <w:color w:val="000000"/>
          <w:sz w:val="24"/>
        </w:rPr>
      </w:pPr>
      <w:r>
        <w:rPr>
          <w:color w:val="000000"/>
          <w:sz w:val="24"/>
        </w:rPr>
        <w:t>空压机房噪声控制措施：</w:t>
      </w:r>
      <w:r>
        <w:rPr>
          <w:rFonts w:hint="eastAsia"/>
          <w:color w:val="000000"/>
          <w:sz w:val="24"/>
          <w:lang w:eastAsia="zh-CN"/>
        </w:rPr>
        <w:t>（</w:t>
      </w:r>
      <w:r>
        <w:rPr>
          <w:rFonts w:hint="eastAsia"/>
          <w:color w:val="000000"/>
          <w:sz w:val="24"/>
          <w:lang w:val="en-US" w:eastAsia="zh-CN"/>
        </w:rPr>
        <w:t>1</w:t>
      </w:r>
      <w:r>
        <w:rPr>
          <w:rFonts w:hint="eastAsia"/>
          <w:color w:val="000000"/>
          <w:sz w:val="24"/>
          <w:lang w:eastAsia="zh-CN"/>
        </w:rPr>
        <w:t>）</w:t>
      </w:r>
      <w:r>
        <w:rPr>
          <w:rFonts w:hint="eastAsia"/>
          <w:color w:val="000000"/>
          <w:sz w:val="24"/>
        </w:rPr>
        <w:t>压风机设置在砖墙建筑物室内，</w:t>
      </w:r>
      <w:r>
        <w:rPr>
          <w:color w:val="000000"/>
          <w:sz w:val="24"/>
        </w:rPr>
        <w:t>空气压缩机和电动机均设置减振基础；</w:t>
      </w:r>
      <w:r>
        <w:rPr>
          <w:rFonts w:hint="eastAsia"/>
          <w:color w:val="000000"/>
          <w:sz w:val="24"/>
          <w:lang w:eastAsia="zh-CN"/>
        </w:rPr>
        <w:t>（</w:t>
      </w:r>
      <w:r>
        <w:rPr>
          <w:rFonts w:hint="eastAsia"/>
          <w:color w:val="000000"/>
          <w:sz w:val="24"/>
          <w:lang w:val="en-US" w:eastAsia="zh-CN"/>
        </w:rPr>
        <w:t>2</w:t>
      </w:r>
      <w:r>
        <w:rPr>
          <w:rFonts w:hint="eastAsia"/>
          <w:color w:val="000000"/>
          <w:sz w:val="24"/>
          <w:lang w:eastAsia="zh-CN"/>
        </w:rPr>
        <w:t>）</w:t>
      </w:r>
      <w:r>
        <w:rPr>
          <w:color w:val="000000"/>
          <w:sz w:val="24"/>
        </w:rPr>
        <w:t>机房的内墙表面</w:t>
      </w:r>
      <w:r>
        <w:rPr>
          <w:rFonts w:hint="eastAsia"/>
          <w:color w:val="000000"/>
          <w:sz w:val="24"/>
        </w:rPr>
        <w:t>和顶棚设置龙骨+吸声棉+吸声空板，</w:t>
      </w:r>
      <w:r>
        <w:rPr>
          <w:color w:val="000000"/>
          <w:sz w:val="24"/>
        </w:rPr>
        <w:t>敷设ZX系列吸声板</w:t>
      </w:r>
      <w:r>
        <w:rPr>
          <w:rFonts w:hint="eastAsia"/>
          <w:color w:val="000000"/>
          <w:sz w:val="24"/>
        </w:rPr>
        <w:t>，设置隔声窗，</w:t>
      </w:r>
      <w:r>
        <w:rPr>
          <w:rFonts w:hint="eastAsia"/>
          <w:color w:val="000000"/>
          <w:sz w:val="24"/>
          <w:lang w:eastAsia="zh-CN"/>
        </w:rPr>
        <w:t>有效</w:t>
      </w:r>
      <w:r>
        <w:rPr>
          <w:rFonts w:hint="eastAsia" w:ascii="宋体" w:hAnsi="宋体"/>
          <w:color w:val="000000"/>
          <w:sz w:val="24"/>
        </w:rPr>
        <w:t>降低噪声</w:t>
      </w:r>
      <w:r>
        <w:rPr>
          <w:rFonts w:hint="eastAsia" w:ascii="Times New Roman" w:hAnsi="Times New Roman" w:cs="Times New Roman"/>
          <w:color w:val="000000"/>
          <w:sz w:val="24"/>
          <w:lang w:eastAsia="zh-CN"/>
        </w:rPr>
        <w:t>，对周边环境影响明显减小</w:t>
      </w:r>
      <w:r>
        <w:rPr>
          <w:rFonts w:hint="eastAsia" w:ascii="宋体" w:hAnsi="宋体"/>
          <w:color w:val="000000"/>
          <w:sz w:val="24"/>
        </w:rPr>
        <w:t>。</w:t>
      </w:r>
    </w:p>
    <w:p>
      <w:pPr>
        <w:spacing w:line="360" w:lineRule="auto"/>
        <w:ind w:firstLine="480"/>
        <w:rPr>
          <w:color w:val="000000"/>
          <w:sz w:val="24"/>
        </w:rPr>
      </w:pPr>
      <w:r>
        <w:rPr>
          <w:rFonts w:hint="eastAsia"/>
          <w:color w:val="000000"/>
          <w:sz w:val="24"/>
        </w:rPr>
        <w:t>3</w:t>
      </w:r>
      <w:r>
        <w:rPr>
          <w:rFonts w:hint="eastAsia" w:ascii="宋体" w:hAnsi="宋体" w:eastAsia="宋体" w:cs="宋体"/>
          <w:color w:val="000000"/>
          <w:sz w:val="24"/>
          <w:lang w:val="en-US" w:eastAsia="zh-CN"/>
        </w:rPr>
        <w:t>.</w:t>
      </w:r>
      <w:r>
        <w:rPr>
          <w:rFonts w:hint="eastAsia"/>
          <w:color w:val="000000"/>
          <w:sz w:val="24"/>
        </w:rPr>
        <w:t>通</w:t>
      </w:r>
      <w:r>
        <w:rPr>
          <w:color w:val="000000"/>
          <w:sz w:val="24"/>
        </w:rPr>
        <w:t>风机噪声控制</w:t>
      </w:r>
    </w:p>
    <w:p>
      <w:pPr>
        <w:spacing w:line="360" w:lineRule="auto"/>
        <w:ind w:firstLine="480"/>
        <w:rPr>
          <w:rFonts w:hint="eastAsia" w:ascii="宋体" w:hAnsi="宋体"/>
          <w:color w:val="000000"/>
          <w:sz w:val="24"/>
        </w:rPr>
      </w:pPr>
      <w:r>
        <w:rPr>
          <w:rFonts w:hint="eastAsia"/>
          <w:color w:val="000000"/>
          <w:sz w:val="24"/>
        </w:rPr>
        <w:t>通</w:t>
      </w:r>
      <w:r>
        <w:rPr>
          <w:color w:val="000000"/>
          <w:sz w:val="24"/>
        </w:rPr>
        <w:t>风机噪声控制措施：</w:t>
      </w:r>
      <w:r>
        <w:rPr>
          <w:rFonts w:hint="eastAsia"/>
          <w:color w:val="000000"/>
          <w:sz w:val="24"/>
          <w:lang w:eastAsia="zh-CN"/>
        </w:rPr>
        <w:t>（</w:t>
      </w:r>
      <w:r>
        <w:rPr>
          <w:rFonts w:hint="eastAsia"/>
          <w:color w:val="000000"/>
          <w:sz w:val="24"/>
          <w:lang w:val="en-US" w:eastAsia="zh-CN"/>
        </w:rPr>
        <w:t>1</w:t>
      </w:r>
      <w:r>
        <w:rPr>
          <w:rFonts w:hint="eastAsia"/>
          <w:color w:val="000000"/>
          <w:sz w:val="24"/>
          <w:lang w:eastAsia="zh-CN"/>
        </w:rPr>
        <w:t>）</w:t>
      </w:r>
      <w:r>
        <w:rPr>
          <w:color w:val="000000"/>
          <w:sz w:val="24"/>
        </w:rPr>
        <w:t>风机布置在</w:t>
      </w:r>
      <w:r>
        <w:rPr>
          <w:rFonts w:hint="eastAsia"/>
          <w:color w:val="000000"/>
          <w:sz w:val="24"/>
        </w:rPr>
        <w:t>砖墙建筑物</w:t>
      </w:r>
      <w:r>
        <w:rPr>
          <w:color w:val="000000"/>
          <w:sz w:val="24"/>
        </w:rPr>
        <w:t>室内；</w:t>
      </w:r>
      <w:r>
        <w:rPr>
          <w:rFonts w:hint="eastAsia"/>
          <w:color w:val="000000"/>
          <w:sz w:val="24"/>
          <w:lang w:eastAsia="zh-CN"/>
        </w:rPr>
        <w:t>（</w:t>
      </w:r>
      <w:r>
        <w:rPr>
          <w:rFonts w:hint="eastAsia"/>
          <w:color w:val="000000"/>
          <w:sz w:val="24"/>
          <w:lang w:val="en-US" w:eastAsia="zh-CN"/>
        </w:rPr>
        <w:t>2</w:t>
      </w:r>
      <w:r>
        <w:rPr>
          <w:rFonts w:hint="eastAsia"/>
          <w:color w:val="000000"/>
          <w:sz w:val="24"/>
          <w:lang w:eastAsia="zh-CN"/>
        </w:rPr>
        <w:t>）</w:t>
      </w:r>
      <w:r>
        <w:rPr>
          <w:color w:val="000000"/>
          <w:sz w:val="24"/>
        </w:rPr>
        <w:t>风机和电动机安装时设置减振基础；</w:t>
      </w:r>
      <w:r>
        <w:rPr>
          <w:rFonts w:hint="eastAsia"/>
          <w:color w:val="000000"/>
          <w:sz w:val="24"/>
          <w:lang w:eastAsia="zh-CN"/>
        </w:rPr>
        <w:t>（</w:t>
      </w:r>
      <w:r>
        <w:rPr>
          <w:rFonts w:hint="eastAsia"/>
          <w:color w:val="000000"/>
          <w:sz w:val="24"/>
          <w:lang w:val="en-US" w:eastAsia="zh-CN"/>
        </w:rPr>
        <w:t>3</w:t>
      </w:r>
      <w:r>
        <w:rPr>
          <w:rFonts w:hint="eastAsia"/>
          <w:color w:val="000000"/>
          <w:sz w:val="24"/>
          <w:lang w:eastAsia="zh-CN"/>
        </w:rPr>
        <w:t>）</w:t>
      </w:r>
      <w:r>
        <w:rPr>
          <w:rFonts w:hint="eastAsia"/>
          <w:color w:val="000000"/>
          <w:sz w:val="24"/>
        </w:rPr>
        <w:t>排风口</w:t>
      </w:r>
      <w:r>
        <w:rPr>
          <w:color w:val="000000"/>
          <w:sz w:val="24"/>
        </w:rPr>
        <w:t>处各安装1台ZT系列阻抗复合消声器，</w:t>
      </w:r>
      <w:r>
        <w:rPr>
          <w:rFonts w:hint="eastAsia"/>
          <w:color w:val="000000"/>
          <w:sz w:val="24"/>
          <w:lang w:eastAsia="zh-CN"/>
        </w:rPr>
        <w:t>（</w:t>
      </w:r>
      <w:r>
        <w:rPr>
          <w:rFonts w:hint="eastAsia"/>
          <w:color w:val="000000"/>
          <w:sz w:val="24"/>
          <w:lang w:val="en-US" w:eastAsia="zh-CN"/>
        </w:rPr>
        <w:t>4</w:t>
      </w:r>
      <w:r>
        <w:rPr>
          <w:rFonts w:hint="eastAsia"/>
          <w:color w:val="000000"/>
          <w:sz w:val="24"/>
          <w:lang w:eastAsia="zh-CN"/>
        </w:rPr>
        <w:t>）</w:t>
      </w:r>
      <w:r>
        <w:rPr>
          <w:color w:val="000000"/>
          <w:sz w:val="24"/>
        </w:rPr>
        <w:t>在机房内墙表面及房顶敷设ZX系列吸声结构，并设置隔声门窗；</w:t>
      </w:r>
      <w:r>
        <w:rPr>
          <w:rFonts w:hint="eastAsia"/>
          <w:color w:val="000000"/>
          <w:sz w:val="24"/>
          <w:lang w:eastAsia="zh-CN"/>
        </w:rPr>
        <w:t>（</w:t>
      </w:r>
      <w:r>
        <w:rPr>
          <w:rFonts w:hint="eastAsia"/>
          <w:color w:val="000000"/>
          <w:sz w:val="24"/>
          <w:lang w:val="en-US" w:eastAsia="zh-CN"/>
        </w:rPr>
        <w:t>5</w:t>
      </w:r>
      <w:r>
        <w:rPr>
          <w:rFonts w:hint="eastAsia"/>
          <w:color w:val="000000"/>
          <w:sz w:val="24"/>
          <w:lang w:eastAsia="zh-CN"/>
        </w:rPr>
        <w:t>）</w:t>
      </w:r>
      <w:r>
        <w:rPr>
          <w:color w:val="000000"/>
          <w:sz w:val="24"/>
        </w:rPr>
        <w:t>设置隔声值班室。</w:t>
      </w:r>
      <w:r>
        <w:rPr>
          <w:rFonts w:hint="eastAsia"/>
          <w:color w:val="000000"/>
          <w:sz w:val="24"/>
          <w:lang w:eastAsia="zh-CN"/>
        </w:rPr>
        <w:t>有效</w:t>
      </w:r>
      <w:r>
        <w:rPr>
          <w:rFonts w:hint="eastAsia" w:ascii="宋体" w:hAnsi="宋体"/>
          <w:color w:val="000000"/>
          <w:sz w:val="24"/>
        </w:rPr>
        <w:t>降低噪声</w:t>
      </w:r>
      <w:r>
        <w:rPr>
          <w:rFonts w:hint="eastAsia" w:ascii="Times New Roman" w:hAnsi="Times New Roman" w:cs="Times New Roman"/>
          <w:color w:val="000000"/>
          <w:sz w:val="24"/>
          <w:lang w:eastAsia="zh-CN"/>
        </w:rPr>
        <w:t>，</w:t>
      </w:r>
      <w:r>
        <w:rPr>
          <w:rFonts w:hint="eastAsia" w:ascii="宋体" w:hAnsi="宋体"/>
          <w:color w:val="000000"/>
          <w:sz w:val="24"/>
          <w:lang w:eastAsia="zh-CN"/>
        </w:rPr>
        <w:t>对周边环境影响明显减小</w:t>
      </w:r>
      <w:r>
        <w:rPr>
          <w:rFonts w:hint="eastAsia" w:ascii="宋体" w:hAnsi="宋体"/>
          <w:color w:val="000000"/>
          <w:sz w:val="24"/>
        </w:rPr>
        <w:t>。</w:t>
      </w:r>
    </w:p>
    <w:p>
      <w:pPr>
        <w:spacing w:line="360" w:lineRule="auto"/>
        <w:ind w:firstLine="480"/>
        <w:rPr>
          <w:color w:val="000000"/>
          <w:sz w:val="24"/>
        </w:rPr>
      </w:pPr>
      <w:r>
        <w:rPr>
          <w:rFonts w:hint="eastAsia"/>
          <w:color w:val="000000"/>
          <w:sz w:val="24"/>
          <w:lang w:val="en-US" w:eastAsia="zh-CN"/>
        </w:rPr>
        <w:t>4</w:t>
      </w:r>
      <w:r>
        <w:rPr>
          <w:rFonts w:hint="eastAsia" w:ascii="宋体" w:hAnsi="宋体" w:eastAsia="宋体" w:cs="宋体"/>
          <w:color w:val="000000"/>
          <w:sz w:val="24"/>
          <w:lang w:val="en-US" w:eastAsia="zh-CN"/>
        </w:rPr>
        <w:t>.</w:t>
      </w:r>
      <w:r>
        <w:rPr>
          <w:color w:val="000000"/>
          <w:sz w:val="24"/>
        </w:rPr>
        <w:t>机修车间噪声控制</w:t>
      </w:r>
    </w:p>
    <w:p>
      <w:pPr>
        <w:spacing w:line="360" w:lineRule="auto"/>
        <w:ind w:firstLine="480"/>
      </w:pPr>
      <w:r>
        <w:rPr>
          <w:color w:val="000000"/>
          <w:sz w:val="24"/>
        </w:rPr>
        <w:t>机修车间产噪设备为各类机械加工设备，选择低噪声设备，减少</w:t>
      </w:r>
      <w:r>
        <w:rPr>
          <w:rFonts w:hint="eastAsia"/>
          <w:color w:val="000000"/>
          <w:sz w:val="24"/>
          <w:lang w:eastAsia="zh-CN"/>
        </w:rPr>
        <w:t>了</w:t>
      </w:r>
      <w:r>
        <w:rPr>
          <w:color w:val="000000"/>
          <w:sz w:val="24"/>
        </w:rPr>
        <w:t>冲击性工艺，以焊代铆、以液压代冲击、以液压代气动等。机修车间设置隔声门窗</w:t>
      </w:r>
      <w:r>
        <w:rPr>
          <w:rFonts w:hint="eastAsia" w:ascii="宋体" w:hAnsi="宋体"/>
          <w:color w:val="000000"/>
          <w:sz w:val="24"/>
        </w:rPr>
        <w:t>，</w:t>
      </w:r>
      <w:r>
        <w:rPr>
          <w:rFonts w:hint="eastAsia" w:ascii="宋体" w:hAnsi="宋体"/>
          <w:color w:val="000000"/>
          <w:sz w:val="24"/>
          <w:lang w:eastAsia="zh-CN"/>
        </w:rPr>
        <w:t>有效</w:t>
      </w:r>
      <w:r>
        <w:rPr>
          <w:rFonts w:hint="eastAsia" w:ascii="宋体" w:hAnsi="宋体"/>
          <w:color w:val="000000"/>
          <w:sz w:val="24"/>
        </w:rPr>
        <w:t>降低噪声</w:t>
      </w:r>
      <w:r>
        <w:rPr>
          <w:rFonts w:hint="eastAsia" w:ascii="Times New Roman" w:hAnsi="Times New Roman" w:cs="Times New Roman"/>
          <w:color w:val="000000"/>
          <w:sz w:val="24"/>
          <w:lang w:eastAsia="zh-CN"/>
        </w:rPr>
        <w:t>，</w:t>
      </w:r>
      <w:r>
        <w:rPr>
          <w:rFonts w:hint="eastAsia" w:ascii="宋体" w:hAnsi="宋体"/>
          <w:color w:val="000000"/>
          <w:sz w:val="24"/>
          <w:lang w:eastAsia="zh-CN"/>
        </w:rPr>
        <w:t>对周边环境影响明显减小</w:t>
      </w:r>
      <w:r>
        <w:rPr>
          <w:rFonts w:hint="eastAsia" w:ascii="宋体" w:hAnsi="宋体"/>
          <w:color w:val="000000"/>
          <w:sz w:val="24"/>
        </w:rPr>
        <w:t>。</w:t>
      </w:r>
    </w:p>
    <w:p>
      <w:pPr>
        <w:ind w:firstLine="241" w:firstLineChars="100"/>
        <w:rPr>
          <w:rFonts w:hint="eastAsia"/>
          <w:b/>
          <w:bCs/>
          <w:lang w:val="en-US" w:eastAsia="zh-CN"/>
        </w:rPr>
      </w:pPr>
      <w:r>
        <w:rPr>
          <w:rFonts w:hint="eastAsia"/>
          <w:b/>
          <w:bCs/>
          <w:lang w:val="en-US" w:eastAsia="zh-CN"/>
        </w:rPr>
        <w:t>4.1.3.2交通噪声控制</w:t>
      </w:r>
    </w:p>
    <w:p>
      <w:pPr>
        <w:spacing w:line="360" w:lineRule="auto"/>
        <w:ind w:firstLine="480"/>
        <w:rPr>
          <w:rFonts w:hint="eastAsia"/>
          <w:color w:val="000000"/>
          <w:sz w:val="24"/>
        </w:rPr>
      </w:pPr>
      <w:r>
        <w:rPr>
          <w:rFonts w:hint="eastAsia"/>
          <w:color w:val="000000"/>
          <w:sz w:val="24"/>
        </w:rPr>
        <w:t>本项目的建设增加</w:t>
      </w:r>
      <w:r>
        <w:rPr>
          <w:rFonts w:hint="eastAsia"/>
          <w:color w:val="000000"/>
          <w:sz w:val="24"/>
          <w:lang w:eastAsia="zh-CN"/>
        </w:rPr>
        <w:t>了</w:t>
      </w:r>
      <w:r>
        <w:rPr>
          <w:rFonts w:hint="eastAsia"/>
          <w:color w:val="000000"/>
          <w:sz w:val="24"/>
        </w:rPr>
        <w:t>矿区所在地的车流量，特别是重载车，为</w:t>
      </w:r>
      <w:r>
        <w:rPr>
          <w:color w:val="000000"/>
          <w:sz w:val="24"/>
        </w:rPr>
        <w:t>减少道路的噪声影响，</w:t>
      </w:r>
      <w:r>
        <w:rPr>
          <w:rFonts w:hint="eastAsia"/>
          <w:color w:val="000000"/>
          <w:sz w:val="24"/>
          <w:lang w:eastAsia="zh-CN"/>
        </w:rPr>
        <w:t>采</w:t>
      </w:r>
      <w:r>
        <w:rPr>
          <w:rFonts w:hint="eastAsia"/>
          <w:color w:val="000000"/>
          <w:sz w:val="24"/>
        </w:rPr>
        <w:t>取</w:t>
      </w:r>
      <w:r>
        <w:rPr>
          <w:rFonts w:hint="eastAsia"/>
          <w:color w:val="000000"/>
          <w:sz w:val="24"/>
          <w:lang w:eastAsia="zh-CN"/>
        </w:rPr>
        <w:t>了以下</w:t>
      </w:r>
      <w:r>
        <w:rPr>
          <w:rFonts w:hint="eastAsia"/>
          <w:color w:val="000000"/>
          <w:sz w:val="24"/>
        </w:rPr>
        <w:t>措施：</w:t>
      </w:r>
    </w:p>
    <w:p>
      <w:pPr>
        <w:spacing w:line="360" w:lineRule="auto"/>
        <w:ind w:firstLine="480"/>
        <w:rPr>
          <w:bCs/>
          <w:color w:val="000000"/>
          <w:sz w:val="24"/>
        </w:rPr>
      </w:pPr>
      <w:r>
        <w:rPr>
          <w:rFonts w:hint="eastAsia"/>
          <w:bCs/>
          <w:color w:val="000000"/>
          <w:sz w:val="24"/>
        </w:rPr>
        <w:t>①</w:t>
      </w:r>
      <w:r>
        <w:rPr>
          <w:bCs/>
          <w:color w:val="000000"/>
          <w:sz w:val="24"/>
        </w:rPr>
        <w:t>降低机动车辆噪声辐射</w:t>
      </w:r>
      <w:r>
        <w:rPr>
          <w:rFonts w:hint="eastAsia"/>
          <w:bCs/>
          <w:color w:val="000000"/>
          <w:sz w:val="24"/>
          <w:lang w:eastAsia="zh-CN"/>
        </w:rPr>
        <w:t>。</w:t>
      </w:r>
      <w:r>
        <w:rPr>
          <w:rFonts w:hint="eastAsia"/>
          <w:bCs/>
          <w:color w:val="000000"/>
          <w:sz w:val="24"/>
        </w:rPr>
        <w:t>严格执行</w:t>
      </w:r>
      <w:r>
        <w:rPr>
          <w:bCs/>
          <w:color w:val="000000"/>
          <w:sz w:val="24"/>
        </w:rPr>
        <w:t>机动车辆噪声限值</w:t>
      </w:r>
      <w:r>
        <w:rPr>
          <w:rFonts w:hint="eastAsia"/>
          <w:bCs/>
          <w:color w:val="000000"/>
          <w:sz w:val="24"/>
        </w:rPr>
        <w:t>控制法规和</w:t>
      </w:r>
      <w:r>
        <w:rPr>
          <w:bCs/>
          <w:color w:val="000000"/>
          <w:sz w:val="24"/>
        </w:rPr>
        <w:t>标准</w:t>
      </w:r>
      <w:r>
        <w:rPr>
          <w:rFonts w:hint="eastAsia"/>
          <w:bCs/>
          <w:color w:val="000000"/>
          <w:sz w:val="24"/>
        </w:rPr>
        <w:t>；</w:t>
      </w:r>
      <w:r>
        <w:rPr>
          <w:bCs/>
          <w:color w:val="000000"/>
          <w:sz w:val="24"/>
        </w:rPr>
        <w:t>严格控制机动车辆鸣笛</w:t>
      </w:r>
      <w:r>
        <w:rPr>
          <w:rFonts w:hint="eastAsia"/>
          <w:bCs/>
          <w:color w:val="000000"/>
          <w:sz w:val="24"/>
        </w:rPr>
        <w:t>、刹车</w:t>
      </w:r>
      <w:r>
        <w:rPr>
          <w:bCs/>
          <w:color w:val="000000"/>
          <w:sz w:val="24"/>
        </w:rPr>
        <w:t>和其他音响信号</w:t>
      </w:r>
      <w:r>
        <w:rPr>
          <w:rFonts w:hint="eastAsia"/>
          <w:bCs/>
          <w:color w:val="000000"/>
          <w:sz w:val="24"/>
        </w:rPr>
        <w:t>装置等偶发噪声；重点检测和控制、定期保养和大修高噪声车辆消声器、刹车机构、发动机罩、车体板件等涉噪设备；</w:t>
      </w:r>
      <w:r>
        <w:rPr>
          <w:rFonts w:hint="eastAsia"/>
          <w:color w:val="000000"/>
          <w:sz w:val="24"/>
        </w:rPr>
        <w:t>车况完好，降低车速。</w:t>
      </w:r>
    </w:p>
    <w:p>
      <w:pPr>
        <w:spacing w:line="360" w:lineRule="auto"/>
        <w:ind w:firstLine="480"/>
        <w:rPr>
          <w:rFonts w:hint="eastAsia"/>
          <w:color w:val="000000"/>
          <w:sz w:val="24"/>
        </w:rPr>
      </w:pPr>
      <w:r>
        <w:rPr>
          <w:rFonts w:hint="eastAsia"/>
          <w:color w:val="000000"/>
          <w:sz w:val="24"/>
        </w:rPr>
        <w:t>②</w:t>
      </w:r>
      <w:r>
        <w:rPr>
          <w:rFonts w:hint="eastAsia"/>
          <w:color w:val="000000"/>
          <w:sz w:val="24"/>
          <w:lang w:eastAsia="zh-CN"/>
        </w:rPr>
        <w:t>保护道路两次山林的草木绿化</w:t>
      </w:r>
      <w:r>
        <w:rPr>
          <w:color w:val="000000"/>
          <w:sz w:val="24"/>
        </w:rPr>
        <w:t>，既可以吸收汽车尾气中的有害气体，又可以降低噪声，减轻扬尘，改善生态环境，具有良好的综合环境效益。</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FF0000"/>
          <w:lang w:val="en-US" w:eastAsia="zh-CN"/>
        </w:rPr>
      </w:pPr>
      <w:r>
        <w:rPr>
          <w:rFonts w:hint="eastAsia" w:ascii="宋体" w:hAnsi="宋体"/>
          <w:color w:val="000000"/>
          <w:sz w:val="24"/>
          <w:lang w:eastAsia="zh-CN"/>
        </w:rPr>
        <w:t>因采取以上降噪措施，有效</w:t>
      </w:r>
      <w:r>
        <w:rPr>
          <w:rFonts w:hint="eastAsia" w:ascii="宋体" w:hAnsi="宋体"/>
          <w:color w:val="000000"/>
          <w:sz w:val="24"/>
        </w:rPr>
        <w:t>降低噪声</w:t>
      </w:r>
      <w:r>
        <w:rPr>
          <w:rFonts w:hint="eastAsia" w:cs="Times New Roman"/>
          <w:color w:val="000000"/>
          <w:sz w:val="24"/>
          <w:lang w:eastAsia="zh-CN"/>
        </w:rPr>
        <w:t>，</w:t>
      </w:r>
      <w:r>
        <w:rPr>
          <w:rFonts w:hint="eastAsia" w:ascii="宋体" w:hAnsi="宋体"/>
          <w:color w:val="000000"/>
          <w:sz w:val="24"/>
          <w:lang w:eastAsia="zh-CN"/>
        </w:rPr>
        <w:t>对周边环境影响明显减小</w:t>
      </w:r>
      <w:r>
        <w:rPr>
          <w:rFonts w:hint="eastAsia" w:ascii="宋体" w:hAnsi="宋体"/>
          <w:color w:val="000000"/>
          <w:sz w:val="24"/>
        </w:rPr>
        <w:t>。</w:t>
      </w:r>
    </w:p>
    <w:p>
      <w:pPr>
        <w:pStyle w:val="5"/>
      </w:pPr>
      <w:bookmarkStart w:id="241" w:name="_Toc20754"/>
      <w:r>
        <w:rPr>
          <w:rFonts w:hint="eastAsia"/>
          <w:lang w:val="en-US" w:eastAsia="zh-CN"/>
        </w:rPr>
        <w:t>4.1.4固</w:t>
      </w:r>
      <w:r>
        <w:rPr>
          <w:rFonts w:hint="eastAsia"/>
        </w:rPr>
        <w:t>废处理处置及污染防治措施</w:t>
      </w:r>
    </w:p>
    <w:p>
      <w:pPr>
        <w:ind w:firstLine="241" w:firstLineChars="100"/>
        <w:rPr>
          <w:rFonts w:hint="eastAsia"/>
          <w:b/>
          <w:bCs/>
          <w:color w:val="auto"/>
          <w:lang w:val="en-US" w:eastAsia="zh-CN"/>
        </w:rPr>
      </w:pPr>
      <w:r>
        <w:rPr>
          <w:rFonts w:hint="eastAsia"/>
          <w:b/>
          <w:bCs/>
          <w:color w:val="auto"/>
          <w:lang w:val="en-US" w:eastAsia="zh-CN"/>
        </w:rPr>
        <w:t>4.1.4.1废石处置</w:t>
      </w:r>
    </w:p>
    <w:p>
      <w:pPr>
        <w:spacing w:line="360" w:lineRule="auto"/>
        <w:ind w:firstLine="480" w:firstLineChars="200"/>
        <w:rPr>
          <w:rFonts w:hint="eastAsia" w:eastAsia="宋体"/>
          <w:snapToGrid w:val="0"/>
          <w:color w:val="auto"/>
          <w:kern w:val="0"/>
          <w:sz w:val="24"/>
          <w:lang w:eastAsia="zh-CN"/>
        </w:rPr>
      </w:pPr>
      <w:r>
        <w:rPr>
          <w:rFonts w:hint="eastAsia"/>
          <w:color w:val="000000"/>
          <w:sz w:val="24"/>
        </w:rPr>
        <w:t>本项目生产期</w:t>
      </w:r>
      <w:r>
        <w:rPr>
          <w:rFonts w:hint="eastAsia"/>
          <w:color w:val="000000"/>
          <w:sz w:val="24"/>
          <w:lang w:eastAsia="zh-CN"/>
        </w:rPr>
        <w:t>会</w:t>
      </w:r>
      <w:r>
        <w:rPr>
          <w:rFonts w:hint="eastAsia"/>
          <w:color w:val="000000"/>
          <w:sz w:val="24"/>
        </w:rPr>
        <w:t>产生废石，当项目生产产生采</w:t>
      </w:r>
      <w:r>
        <w:rPr>
          <w:rFonts w:hint="eastAsia"/>
          <w:color w:val="auto"/>
          <w:sz w:val="24"/>
        </w:rPr>
        <w:t>空区后，产生的废石全部不出井</w:t>
      </w:r>
      <w:r>
        <w:rPr>
          <w:rFonts w:hint="eastAsia"/>
          <w:color w:val="auto"/>
          <w:sz w:val="24"/>
          <w:lang w:eastAsia="zh-CN"/>
        </w:rPr>
        <w:t>，堆置于井下非作业区，并逐步</w:t>
      </w:r>
      <w:r>
        <w:rPr>
          <w:rFonts w:hint="eastAsia"/>
          <w:color w:val="auto"/>
          <w:sz w:val="24"/>
        </w:rPr>
        <w:t>回填采空区，对环境不会产生影响。</w:t>
      </w:r>
      <w:r>
        <w:rPr>
          <w:rFonts w:hint="eastAsia"/>
          <w:color w:val="auto"/>
          <w:sz w:val="24"/>
          <w:lang w:eastAsia="zh-CN"/>
        </w:rPr>
        <w:t>选矿厂尾砂运回矿区，对井下采空区进行回填。</w:t>
      </w:r>
    </w:p>
    <w:p>
      <w:pPr>
        <w:ind w:firstLine="241" w:firstLineChars="100"/>
        <w:rPr>
          <w:rFonts w:hint="eastAsia"/>
          <w:b/>
          <w:bCs/>
          <w:color w:val="auto"/>
          <w:lang w:val="en-US" w:eastAsia="zh-CN"/>
        </w:rPr>
      </w:pPr>
      <w:r>
        <w:rPr>
          <w:rFonts w:hint="eastAsia"/>
          <w:b/>
          <w:bCs/>
          <w:color w:val="auto"/>
          <w:lang w:val="en-US" w:eastAsia="zh-CN"/>
        </w:rPr>
        <w:t>4.1.4.2生活垃圾处置</w:t>
      </w:r>
    </w:p>
    <w:p>
      <w:pPr>
        <w:ind w:firstLine="480" w:firstLineChars="200"/>
        <w:rPr>
          <w:color w:val="auto"/>
        </w:rPr>
      </w:pPr>
      <w:r>
        <w:rPr>
          <w:color w:val="auto"/>
        </w:rPr>
        <w:t>本项目职工产生的生活垃圾，分类收集，由环卫部门集中进行统一处理处置。</w:t>
      </w:r>
    </w:p>
    <w:p>
      <w:pPr>
        <w:pStyle w:val="5"/>
        <w:rPr>
          <w:rFonts w:hint="eastAsia"/>
          <w:color w:val="auto"/>
          <w:lang w:val="en-US" w:eastAsia="zh-CN"/>
        </w:rPr>
      </w:pPr>
      <w:r>
        <w:rPr>
          <w:rFonts w:hint="eastAsia"/>
          <w:color w:val="auto"/>
          <w:lang w:val="en-US" w:eastAsia="zh-CN"/>
        </w:rPr>
        <w:t>4.1.5污染物产生及排放情况汇总</w:t>
      </w:r>
      <w:bookmarkEnd w:id="241"/>
    </w:p>
    <w:p>
      <w:pPr>
        <w:ind w:left="0" w:leftChars="0" w:firstLine="480" w:firstLineChars="200"/>
        <w:rPr>
          <w:rFonts w:hint="eastAsia"/>
          <w:color w:val="auto"/>
          <w:lang w:val="en-US" w:eastAsia="zh-CN"/>
        </w:rPr>
      </w:pPr>
      <w:r>
        <w:rPr>
          <w:rFonts w:hint="eastAsia"/>
          <w:color w:val="auto"/>
          <w:lang w:val="en-US" w:eastAsia="zh-CN"/>
        </w:rPr>
        <w:t>项目污染物产生及排放情况见表4.1-1。</w:t>
      </w:r>
    </w:p>
    <w:p>
      <w:pPr>
        <w:ind w:left="0" w:leftChars="0" w:firstLine="0" w:firstLineChars="0"/>
        <w:jc w:val="center"/>
        <w:rPr>
          <w:rFonts w:hint="eastAsia"/>
          <w:b/>
          <w:bCs/>
          <w:color w:val="auto"/>
          <w:lang w:val="en-US" w:eastAsia="zh-CN"/>
        </w:rPr>
      </w:pPr>
      <w:r>
        <w:rPr>
          <w:rFonts w:hint="eastAsia"/>
          <w:b/>
          <w:bCs/>
          <w:color w:val="auto"/>
          <w:sz w:val="21"/>
          <w:szCs w:val="21"/>
          <w:lang w:val="en-US" w:eastAsia="zh-CN"/>
        </w:rPr>
        <w:t>表4.1-1 环境保护设施及现场勘察内容一览表</w:t>
      </w:r>
    </w:p>
    <w:tbl>
      <w:tblPr>
        <w:tblStyle w:val="17"/>
        <w:tblW w:w="8482" w:type="dxa"/>
        <w:jc w:val="center"/>
        <w:tblInd w:w="704"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18"/>
        <w:gridCol w:w="1425"/>
        <w:gridCol w:w="533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9" w:hRule="atLeast"/>
          <w:jc w:val="center"/>
        </w:trPr>
        <w:tc>
          <w:tcPr>
            <w:tcW w:w="171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vertAlign w:val="baseline"/>
                <w:lang w:eastAsia="zh-CN"/>
              </w:rPr>
            </w:pPr>
            <w:r>
              <w:rPr>
                <w:rFonts w:hint="default" w:ascii="Times New Roman" w:hAnsi="Times New Roman" w:eastAsia="宋体" w:cs="Times New Roman"/>
                <w:b/>
                <w:bCs/>
                <w:color w:val="auto"/>
                <w:sz w:val="21"/>
                <w:szCs w:val="21"/>
                <w:lang w:eastAsia="zh-CN"/>
              </w:rPr>
              <w:t>项目</w:t>
            </w:r>
          </w:p>
        </w:tc>
        <w:tc>
          <w:tcPr>
            <w:tcW w:w="14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污染源</w:t>
            </w:r>
          </w:p>
        </w:tc>
        <w:tc>
          <w:tcPr>
            <w:tcW w:w="53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现场勘查内容</w:t>
            </w:r>
            <w:r>
              <w:rPr>
                <w:rFonts w:hint="eastAsia" w:cs="Times New Roman"/>
                <w:b/>
                <w:bCs/>
                <w:color w:val="auto"/>
                <w:sz w:val="21"/>
                <w:szCs w:val="21"/>
                <w:lang w:eastAsia="zh-CN"/>
              </w:rPr>
              <w:t>与排放情况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1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水污染源及</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环保处理措施</w:t>
            </w:r>
          </w:p>
        </w:tc>
        <w:tc>
          <w:tcPr>
            <w:tcW w:w="14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生产废</w:t>
            </w:r>
            <w:r>
              <w:rPr>
                <w:rFonts w:hint="default" w:ascii="Times New Roman" w:hAnsi="Times New Roman" w:eastAsia="宋体" w:cs="Times New Roman"/>
                <w:color w:val="auto"/>
                <w:sz w:val="21"/>
                <w:szCs w:val="21"/>
                <w:lang w:eastAsia="zh-CN"/>
              </w:rPr>
              <w:t>水</w:t>
            </w:r>
          </w:p>
        </w:tc>
        <w:tc>
          <w:tcPr>
            <w:tcW w:w="53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1"/>
                <w:szCs w:val="21"/>
                <w:lang w:eastAsia="zh-CN"/>
              </w:rPr>
            </w:pPr>
            <w:r>
              <w:rPr>
                <w:rFonts w:hint="eastAsia"/>
                <w:color w:val="auto"/>
                <w:sz w:val="21"/>
                <w:szCs w:val="21"/>
              </w:rPr>
              <w:t>全部汇集到</w:t>
            </w:r>
            <w:r>
              <w:rPr>
                <w:rFonts w:hint="eastAsia"/>
                <w:color w:val="auto"/>
                <w:sz w:val="21"/>
                <w:szCs w:val="21"/>
                <w:lang w:eastAsia="zh-CN"/>
              </w:rPr>
              <w:t>原</w:t>
            </w:r>
            <w:r>
              <w:rPr>
                <w:rFonts w:hint="eastAsia"/>
                <w:color w:val="auto"/>
                <w:sz w:val="21"/>
                <w:szCs w:val="21"/>
              </w:rPr>
              <w:t>废石堆场下方设置的废水收集和沉淀池中</w:t>
            </w:r>
            <w:r>
              <w:rPr>
                <w:rFonts w:hint="eastAsia"/>
                <w:color w:val="auto"/>
                <w:sz w:val="21"/>
                <w:szCs w:val="21"/>
                <w:lang w:eastAsia="zh-CN"/>
              </w:rPr>
              <w:t>，一部分废水回用于</w:t>
            </w:r>
            <w:r>
              <w:rPr>
                <w:rFonts w:hint="eastAsia"/>
                <w:color w:val="auto"/>
                <w:sz w:val="21"/>
                <w:szCs w:val="21"/>
              </w:rPr>
              <w:t>矿井生产用，</w:t>
            </w:r>
            <w:r>
              <w:rPr>
                <w:rFonts w:hint="eastAsia"/>
                <w:color w:val="auto"/>
                <w:sz w:val="21"/>
                <w:szCs w:val="21"/>
                <w:lang w:eastAsia="zh-CN"/>
              </w:rPr>
              <w:t>剩余全部</w:t>
            </w:r>
            <w:r>
              <w:rPr>
                <w:rFonts w:hint="eastAsia"/>
                <w:color w:val="auto"/>
                <w:sz w:val="21"/>
                <w:szCs w:val="21"/>
              </w:rPr>
              <w:t>送选矿厂作生产用水</w:t>
            </w:r>
            <w:r>
              <w:rPr>
                <w:rFonts w:hint="eastAsia"/>
                <w:color w:val="auto"/>
                <w:sz w:val="21"/>
                <w:szCs w:val="21"/>
                <w:lang w:eastAsia="zh-CN"/>
              </w:rPr>
              <w:t>（</w:t>
            </w:r>
            <w:r>
              <w:rPr>
                <w:rFonts w:hint="eastAsia"/>
                <w:color w:val="auto"/>
                <w:sz w:val="21"/>
                <w:szCs w:val="21"/>
                <w:lang w:val="en-US" w:eastAsia="zh-CN"/>
              </w:rPr>
              <w:t>项目试运行至今，废水产量较少，全部回用，无富余废水送至选矿厂使用</w:t>
            </w:r>
            <w:r>
              <w:rPr>
                <w:rFonts w:hint="eastAsia"/>
                <w:color w:val="auto"/>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82" w:hRule="atLeast"/>
          <w:jc w:val="center"/>
        </w:trPr>
        <w:tc>
          <w:tcPr>
            <w:tcW w:w="171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气态污染源及</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环保处理设施</w:t>
            </w:r>
          </w:p>
        </w:tc>
        <w:tc>
          <w:tcPr>
            <w:tcW w:w="14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无组织废气</w:t>
            </w:r>
          </w:p>
        </w:tc>
        <w:tc>
          <w:tcPr>
            <w:tcW w:w="53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auto"/>
                <w:sz w:val="21"/>
                <w:szCs w:val="21"/>
                <w:lang w:eastAsia="zh-CN"/>
              </w:rPr>
              <w:t>主要为</w:t>
            </w:r>
            <w:r>
              <w:rPr>
                <w:rFonts w:hint="eastAsia" w:cs="Times New Roman"/>
                <w:color w:val="auto"/>
                <w:sz w:val="21"/>
                <w:szCs w:val="21"/>
                <w:lang w:eastAsia="zh-CN"/>
              </w:rPr>
              <w:t>采矿和运输过程中</w:t>
            </w:r>
            <w:r>
              <w:rPr>
                <w:rFonts w:hint="default" w:ascii="Times New Roman" w:hAnsi="Times New Roman" w:eastAsia="宋体" w:cs="Times New Roman"/>
                <w:color w:val="auto"/>
                <w:sz w:val="21"/>
                <w:szCs w:val="21"/>
                <w:lang w:eastAsia="zh-CN"/>
              </w:rPr>
              <w:t>产生的</w:t>
            </w:r>
            <w:r>
              <w:rPr>
                <w:rFonts w:hint="eastAsia" w:cs="Times New Roman"/>
                <w:color w:val="auto"/>
                <w:sz w:val="21"/>
                <w:szCs w:val="21"/>
                <w:lang w:eastAsia="zh-CN"/>
              </w:rPr>
              <w:t>井下采掘粉尘、运输扬尘和爆破烟雾</w:t>
            </w:r>
            <w:r>
              <w:rPr>
                <w:rFonts w:hint="default" w:ascii="Times New Roman" w:hAnsi="Times New Roman" w:eastAsia="宋体" w:cs="Times New Roman"/>
                <w:color w:val="auto"/>
                <w:sz w:val="21"/>
                <w:szCs w:val="21"/>
                <w:lang w:eastAsia="zh-CN"/>
              </w:rPr>
              <w:t>。</w:t>
            </w:r>
            <w:r>
              <w:rPr>
                <w:rFonts w:hint="default" w:hAnsi="宋体"/>
                <w:color w:val="auto"/>
                <w:sz w:val="21"/>
                <w:szCs w:val="21"/>
              </w:rPr>
              <w:t>采取湿式凿岩、爆堆喷雾洒水</w:t>
            </w:r>
            <w:r>
              <w:rPr>
                <w:rFonts w:hint="eastAsia" w:hAnsi="宋体"/>
                <w:color w:val="auto"/>
                <w:sz w:val="21"/>
                <w:szCs w:val="21"/>
                <w:lang w:eastAsia="zh-CN"/>
              </w:rPr>
              <w:t>，</w:t>
            </w:r>
            <w:r>
              <w:rPr>
                <w:rFonts w:hint="default" w:hAnsi="宋体"/>
                <w:color w:val="auto"/>
                <w:sz w:val="21"/>
                <w:szCs w:val="21"/>
              </w:rPr>
              <w:t>入风井巷定期清洗岩壁</w:t>
            </w:r>
            <w:r>
              <w:rPr>
                <w:rFonts w:hint="eastAsia" w:hAnsi="宋体"/>
                <w:color w:val="auto"/>
                <w:sz w:val="21"/>
                <w:szCs w:val="21"/>
                <w:lang w:eastAsia="zh-CN"/>
              </w:rPr>
              <w:t>；下料仓处对矿石进行喷淋；对</w:t>
            </w:r>
            <w:r>
              <w:rPr>
                <w:rFonts w:hint="default" w:hAnsi="宋体"/>
                <w:color w:val="auto"/>
                <w:sz w:val="21"/>
                <w:szCs w:val="21"/>
              </w:rPr>
              <w:t>道路</w:t>
            </w:r>
            <w:r>
              <w:rPr>
                <w:rFonts w:hint="eastAsia" w:hAnsi="宋体"/>
                <w:color w:val="auto"/>
                <w:sz w:val="21"/>
                <w:szCs w:val="21"/>
                <w:lang w:eastAsia="zh-CN"/>
              </w:rPr>
              <w:t>进行了定期</w:t>
            </w:r>
            <w:r>
              <w:rPr>
                <w:rFonts w:hint="default" w:hAnsi="宋体"/>
                <w:color w:val="auto"/>
                <w:sz w:val="21"/>
                <w:szCs w:val="21"/>
              </w:rPr>
              <w:t>养护</w:t>
            </w:r>
            <w:r>
              <w:rPr>
                <w:rFonts w:hint="eastAsia" w:hAnsi="宋体"/>
                <w:color w:val="auto"/>
                <w:sz w:val="21"/>
                <w:szCs w:val="21"/>
                <w:lang w:eastAsia="zh-CN"/>
              </w:rPr>
              <w:t>和</w:t>
            </w:r>
            <w:r>
              <w:rPr>
                <w:rFonts w:hint="default" w:hAnsi="宋体"/>
                <w:color w:val="auto"/>
                <w:sz w:val="21"/>
                <w:szCs w:val="21"/>
              </w:rPr>
              <w:t>定期洒水</w:t>
            </w:r>
            <w:r>
              <w:rPr>
                <w:rFonts w:hint="eastAsia" w:hAnsi="宋体"/>
                <w:color w:val="auto"/>
                <w:sz w:val="21"/>
                <w:szCs w:val="21"/>
                <w:lang w:eastAsia="zh-CN"/>
              </w:rPr>
              <w:t>，周围是自然植被形成的隔离带；</w:t>
            </w:r>
            <w:r>
              <w:rPr>
                <w:rFonts w:hint="eastAsia" w:hAnsi="宋体"/>
                <w:color w:val="auto"/>
                <w:sz w:val="21"/>
                <w:szCs w:val="21"/>
              </w:rPr>
              <w:t>爆</w:t>
            </w:r>
            <w:r>
              <w:rPr>
                <w:rFonts w:hint="eastAsia" w:hAnsi="宋体"/>
                <w:color w:val="000000"/>
                <w:sz w:val="21"/>
                <w:szCs w:val="21"/>
              </w:rPr>
              <w:t>破产生的烟气通过洒水和通风稀释</w:t>
            </w:r>
            <w:r>
              <w:rPr>
                <w:rFonts w:hint="eastAsia" w:hAnsi="宋体"/>
                <w:color w:val="000000"/>
                <w:sz w:val="21"/>
                <w:szCs w:val="21"/>
                <w:lang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00" w:hRule="atLeast"/>
          <w:jc w:val="center"/>
        </w:trPr>
        <w:tc>
          <w:tcPr>
            <w:tcW w:w="171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固体废物污染源及环保处理设施</w:t>
            </w:r>
          </w:p>
        </w:tc>
        <w:tc>
          <w:tcPr>
            <w:tcW w:w="14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生活垃圾</w:t>
            </w:r>
          </w:p>
        </w:tc>
        <w:tc>
          <w:tcPr>
            <w:tcW w:w="53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1"/>
                <w:szCs w:val="21"/>
              </w:rPr>
            </w:pPr>
            <w:r>
              <w:rPr>
                <w:rFonts w:hint="eastAsia" w:cs="Times New Roman"/>
                <w:color w:val="auto"/>
                <w:sz w:val="21"/>
                <w:szCs w:val="21"/>
                <w:lang w:eastAsia="zh-CN"/>
              </w:rPr>
              <w:t>少量</w:t>
            </w:r>
            <w:r>
              <w:rPr>
                <w:rFonts w:hint="default" w:ascii="Times New Roman" w:hAnsi="Times New Roman" w:eastAsia="宋体" w:cs="Times New Roman"/>
                <w:color w:val="auto"/>
                <w:sz w:val="21"/>
                <w:szCs w:val="21"/>
              </w:rPr>
              <w:t>生活垃圾</w:t>
            </w:r>
            <w:r>
              <w:rPr>
                <w:rFonts w:hint="default" w:ascii="Times New Roman" w:hAnsi="Times New Roman" w:eastAsia="宋体" w:cs="Times New Roman"/>
                <w:color w:val="auto"/>
                <w:sz w:val="21"/>
                <w:szCs w:val="21"/>
                <w:lang w:val="en-US" w:eastAsia="zh-CN"/>
              </w:rPr>
              <w:t>收集后</w:t>
            </w:r>
            <w:r>
              <w:rPr>
                <w:rFonts w:hint="eastAsia" w:cs="Times New Roman"/>
                <w:color w:val="auto"/>
                <w:sz w:val="21"/>
                <w:szCs w:val="21"/>
                <w:lang w:val="en-US" w:eastAsia="zh-CN"/>
              </w:rPr>
              <w:t>由环卫部门收集处理。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96" w:hRule="atLeast"/>
          <w:jc w:val="center"/>
        </w:trPr>
        <w:tc>
          <w:tcPr>
            <w:tcW w:w="1718"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噪声污染源及</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环保处理设施</w:t>
            </w:r>
          </w:p>
        </w:tc>
        <w:tc>
          <w:tcPr>
            <w:tcW w:w="14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FF0000"/>
                <w:sz w:val="21"/>
                <w:szCs w:val="21"/>
                <w:lang w:eastAsia="zh-CN"/>
              </w:rPr>
            </w:pPr>
            <w:r>
              <w:rPr>
                <w:rFonts w:hint="eastAsia"/>
                <w:color w:val="000000"/>
                <w:sz w:val="21"/>
                <w:szCs w:val="21"/>
              </w:rPr>
              <w:t>提升机、空气压缩机、轴流式风机等</w:t>
            </w:r>
          </w:p>
        </w:tc>
        <w:tc>
          <w:tcPr>
            <w:tcW w:w="53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FF0000"/>
                <w:sz w:val="21"/>
                <w:szCs w:val="21"/>
              </w:rPr>
            </w:pPr>
            <w:r>
              <w:rPr>
                <w:rFonts w:hint="eastAsia"/>
                <w:color w:val="auto"/>
                <w:sz w:val="21"/>
                <w:szCs w:val="21"/>
              </w:rPr>
              <w:t>在安装高噪声设备时，提高</w:t>
            </w:r>
            <w:r>
              <w:rPr>
                <w:rFonts w:hint="eastAsia"/>
                <w:color w:val="auto"/>
                <w:sz w:val="21"/>
                <w:szCs w:val="21"/>
                <w:lang w:eastAsia="zh-CN"/>
              </w:rPr>
              <w:t>了</w:t>
            </w:r>
            <w:r>
              <w:rPr>
                <w:rFonts w:hint="eastAsia"/>
                <w:color w:val="auto"/>
                <w:sz w:val="21"/>
                <w:szCs w:val="21"/>
              </w:rPr>
              <w:t>安装精度；对高噪声设备采取建筑物阻挡、基础减振等措施，同时操作间应设置隔声门窗，厂房墙体采用</w:t>
            </w:r>
            <w:r>
              <w:rPr>
                <w:rFonts w:hint="eastAsia"/>
                <w:color w:val="auto"/>
                <w:sz w:val="21"/>
                <w:szCs w:val="21"/>
                <w:lang w:eastAsia="zh-CN"/>
              </w:rPr>
              <w:t>了</w:t>
            </w:r>
            <w:r>
              <w:rPr>
                <w:rFonts w:hint="eastAsia"/>
                <w:color w:val="auto"/>
                <w:sz w:val="21"/>
                <w:szCs w:val="21"/>
              </w:rPr>
              <w:t>新型的隔音、吸声材料；做好</w:t>
            </w:r>
            <w:r>
              <w:rPr>
                <w:rFonts w:hint="eastAsia"/>
                <w:color w:val="auto"/>
                <w:sz w:val="21"/>
                <w:szCs w:val="21"/>
                <w:lang w:eastAsia="zh-CN"/>
              </w:rPr>
              <w:t>了</w:t>
            </w:r>
            <w:r>
              <w:rPr>
                <w:rFonts w:hint="eastAsia"/>
                <w:color w:val="auto"/>
                <w:sz w:val="21"/>
                <w:szCs w:val="21"/>
              </w:rPr>
              <w:t>厂区规划，布置绿化带达到</w:t>
            </w:r>
            <w:r>
              <w:rPr>
                <w:rFonts w:hint="eastAsia"/>
                <w:color w:val="auto"/>
                <w:sz w:val="21"/>
                <w:szCs w:val="21"/>
                <w:lang w:eastAsia="zh-CN"/>
              </w:rPr>
              <w:t>了</w:t>
            </w:r>
            <w:r>
              <w:rPr>
                <w:rFonts w:hint="eastAsia"/>
                <w:color w:val="auto"/>
                <w:sz w:val="21"/>
                <w:szCs w:val="21"/>
              </w:rPr>
              <w:t>隔声的效果。</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96" w:hRule="atLeast"/>
          <w:jc w:val="center"/>
        </w:trPr>
        <w:tc>
          <w:tcPr>
            <w:tcW w:w="1718"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sz w:val="21"/>
                <w:szCs w:val="21"/>
              </w:rPr>
            </w:pPr>
          </w:p>
        </w:tc>
        <w:tc>
          <w:tcPr>
            <w:tcW w:w="14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eastAsia="宋体"/>
                <w:color w:val="000000"/>
                <w:sz w:val="21"/>
                <w:szCs w:val="21"/>
                <w:lang w:eastAsia="zh-CN"/>
              </w:rPr>
            </w:pPr>
            <w:r>
              <w:rPr>
                <w:rFonts w:hint="eastAsia"/>
                <w:color w:val="000000"/>
                <w:sz w:val="21"/>
                <w:szCs w:val="21"/>
                <w:lang w:eastAsia="zh-CN"/>
              </w:rPr>
              <w:t>交通噪声</w:t>
            </w:r>
          </w:p>
        </w:tc>
        <w:tc>
          <w:tcPr>
            <w:tcW w:w="533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eastAsia"/>
                <w:color w:val="000000"/>
                <w:sz w:val="21"/>
                <w:szCs w:val="21"/>
              </w:rPr>
            </w:pPr>
            <w:r>
              <w:rPr>
                <w:rFonts w:hint="default"/>
                <w:bCs/>
                <w:color w:val="000000"/>
                <w:sz w:val="21"/>
                <w:szCs w:val="21"/>
              </w:rPr>
              <w:t>严格控制机动车辆鸣笛</w:t>
            </w:r>
            <w:r>
              <w:rPr>
                <w:rFonts w:hint="eastAsia"/>
                <w:bCs/>
                <w:color w:val="000000"/>
                <w:sz w:val="21"/>
                <w:szCs w:val="21"/>
              </w:rPr>
              <w:t>、刹车</w:t>
            </w:r>
            <w:r>
              <w:rPr>
                <w:rFonts w:hint="default"/>
                <w:bCs/>
                <w:color w:val="000000"/>
                <w:sz w:val="21"/>
                <w:szCs w:val="21"/>
              </w:rPr>
              <w:t>和其他音响信号</w:t>
            </w:r>
            <w:r>
              <w:rPr>
                <w:rFonts w:hint="eastAsia"/>
                <w:bCs/>
                <w:color w:val="000000"/>
                <w:sz w:val="21"/>
                <w:szCs w:val="21"/>
              </w:rPr>
              <w:t>装置等</w:t>
            </w:r>
            <w:r>
              <w:rPr>
                <w:rFonts w:hint="eastAsia"/>
                <w:bCs/>
                <w:color w:val="000000"/>
                <w:sz w:val="21"/>
                <w:szCs w:val="21"/>
                <w:lang w:eastAsia="zh-CN"/>
              </w:rPr>
              <w:t>，</w:t>
            </w:r>
            <w:r>
              <w:rPr>
                <w:rFonts w:hint="eastAsia"/>
                <w:bCs/>
                <w:color w:val="000000"/>
                <w:sz w:val="21"/>
                <w:szCs w:val="21"/>
              </w:rPr>
              <w:t>重点检测和控制、定期保养和大修高噪声车辆</w:t>
            </w:r>
            <w:r>
              <w:rPr>
                <w:rFonts w:hint="eastAsia"/>
                <w:bCs/>
                <w:color w:val="000000"/>
                <w:sz w:val="21"/>
                <w:szCs w:val="21"/>
                <w:lang w:eastAsia="zh-CN"/>
              </w:rPr>
              <w:t>的涉噪设备，控制车速，保护道路两侧山林绿化。</w:t>
            </w:r>
          </w:p>
        </w:tc>
      </w:tr>
    </w:tbl>
    <w:p>
      <w:pPr>
        <w:pStyle w:val="4"/>
      </w:pPr>
      <w:bookmarkStart w:id="242" w:name="_Toc6599"/>
      <w:r>
        <w:rPr>
          <w:rFonts w:hint="eastAsia"/>
          <w:lang w:val="en-US" w:eastAsia="zh-CN"/>
        </w:rPr>
        <w:t xml:space="preserve">4.2 </w:t>
      </w:r>
      <w:r>
        <w:t>环评报告书及批复环保措施落实情况调查</w:t>
      </w:r>
      <w:bookmarkEnd w:id="212"/>
      <w:bookmarkEnd w:id="213"/>
      <w:bookmarkEnd w:id="214"/>
      <w:bookmarkEnd w:id="215"/>
      <w:bookmarkEnd w:id="216"/>
      <w:bookmarkEnd w:id="242"/>
    </w:p>
    <w:p>
      <w:pPr>
        <w:pStyle w:val="18"/>
        <w:spacing w:line="360" w:lineRule="auto"/>
        <w:ind w:firstLine="480" w:firstLineChars="200"/>
        <w:rPr>
          <w:rFonts w:hint="default" w:ascii="Times New Roman" w:hAnsi="Times New Roman" w:cs="Times New Roman"/>
          <w:lang w:val="en-US" w:eastAsia="zh-CN"/>
        </w:rPr>
      </w:pPr>
      <w:r>
        <w:rPr>
          <w:rFonts w:hint="default" w:ascii="Times New Roman" w:hAnsi="Times New Roman" w:cs="Times New Roman"/>
        </w:rPr>
        <w:t>本项目竣工环境保护验收调查工作详细调查了项目运行过程中，已采取的生态、声、水、大气等方面的环境保护措施，工程对环境影响报告及其批复中所提到的各项环保措施的落实情况见表</w:t>
      </w:r>
      <w:r>
        <w:rPr>
          <w:rFonts w:hint="eastAsia" w:ascii="Times New Roman" w:hAnsi="Times New Roman" w:cs="Times New Roman"/>
          <w:lang w:val="en-US" w:eastAsia="zh-CN"/>
        </w:rPr>
        <w:t>4</w:t>
      </w:r>
      <w:r>
        <w:rPr>
          <w:rFonts w:hint="default" w:ascii="Times New Roman" w:hAnsi="Times New Roman" w:cs="Times New Roman"/>
          <w:lang w:val="en-US" w:eastAsia="zh-CN"/>
        </w:rPr>
        <w:t>.</w:t>
      </w:r>
      <w:r>
        <w:rPr>
          <w:rFonts w:hint="eastAsia" w:ascii="Times New Roman" w:hAnsi="Times New Roman" w:cs="Times New Roman"/>
          <w:lang w:val="en-US" w:eastAsia="zh-CN"/>
        </w:rPr>
        <w:t>2</w:t>
      </w:r>
      <w:r>
        <w:rPr>
          <w:rFonts w:hint="default" w:ascii="Times New Roman" w:hAnsi="Times New Roman" w:cs="Times New Roman"/>
          <w:lang w:val="en-US" w:eastAsia="zh-CN"/>
        </w:rPr>
        <w:t>-1。</w:t>
      </w:r>
    </w:p>
    <w:p>
      <w:pPr>
        <w:pStyle w:val="23"/>
        <w:jc w:val="center"/>
        <w:rPr>
          <w:rFonts w:ascii="Times New Roman" w:hAnsi="Times New Roman" w:cs="Times New Roman"/>
          <w:b/>
          <w:color w:val="auto"/>
          <w:sz w:val="21"/>
          <w:szCs w:val="21"/>
          <w:shd w:val="clear" w:color="auto" w:fill="auto"/>
        </w:rPr>
      </w:pPr>
      <w:r>
        <w:rPr>
          <w:rFonts w:hint="eastAsia" w:ascii="Times New Roman" w:hAnsi="Times New Roman" w:cs="Times New Roman"/>
          <w:b/>
          <w:color w:val="auto"/>
          <w:sz w:val="21"/>
          <w:szCs w:val="21"/>
          <w:shd w:val="clear" w:color="auto" w:fill="auto"/>
        </w:rPr>
        <w:t>表</w:t>
      </w:r>
      <w:r>
        <w:rPr>
          <w:rFonts w:hint="eastAsia" w:cs="Times New Roman"/>
          <w:b/>
          <w:color w:val="auto"/>
          <w:sz w:val="21"/>
          <w:szCs w:val="21"/>
          <w:shd w:val="clear" w:color="auto" w:fill="auto"/>
          <w:lang w:val="en-US" w:eastAsia="zh-CN"/>
        </w:rPr>
        <w:t>4.2</w:t>
      </w:r>
      <w:r>
        <w:rPr>
          <w:rFonts w:hint="eastAsia" w:ascii="Times New Roman" w:hAnsi="Times New Roman" w:cs="Times New Roman"/>
          <w:b/>
          <w:color w:val="auto"/>
          <w:sz w:val="21"/>
          <w:szCs w:val="21"/>
          <w:shd w:val="clear" w:color="auto" w:fill="auto"/>
        </w:rPr>
        <w:t>-1 环评批复落实情况对照表</w:t>
      </w:r>
    </w:p>
    <w:tbl>
      <w:tblPr>
        <w:tblStyle w:val="17"/>
        <w:tblW w:w="9195" w:type="dxa"/>
        <w:jc w:val="center"/>
        <w:tblInd w:w="-26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89"/>
        <w:gridCol w:w="38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389" w:type="dxa"/>
            <w:tcBorders>
              <w:top w:val="double" w:color="auto" w:sz="4" w:space="0"/>
              <w:left w:val="nil"/>
            </w:tcBorders>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shd w:val="clear" w:color="auto" w:fill="auto"/>
              </w:rPr>
            </w:pPr>
            <w:r>
              <w:rPr>
                <w:rFonts w:hint="default" w:ascii="Times New Roman" w:hAnsi="Times New Roman" w:eastAsia="宋体" w:cs="Times New Roman"/>
                <w:b/>
                <w:color w:val="auto"/>
                <w:sz w:val="21"/>
                <w:szCs w:val="21"/>
                <w:shd w:val="clear" w:color="auto" w:fill="auto"/>
              </w:rPr>
              <w:t>环评批复要求</w:t>
            </w:r>
          </w:p>
        </w:tc>
        <w:tc>
          <w:tcPr>
            <w:tcW w:w="3806" w:type="dxa"/>
            <w:tcBorders>
              <w:top w:val="double" w:color="auto" w:sz="4" w:space="0"/>
              <w:right w:val="nil"/>
            </w:tcBorders>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shd w:val="clear" w:color="auto" w:fill="auto"/>
                <w:lang w:eastAsia="zh-CN"/>
              </w:rPr>
            </w:pPr>
            <w:r>
              <w:rPr>
                <w:rFonts w:hint="default" w:ascii="Times New Roman" w:hAnsi="Times New Roman" w:eastAsia="宋体" w:cs="Times New Roman"/>
                <w:b/>
                <w:color w:val="000000" w:themeColor="text1"/>
                <w:sz w:val="21"/>
                <w:szCs w:val="21"/>
                <w:shd w:val="clear" w:color="auto" w:fill="auto"/>
                <w14:textFill>
                  <w14:solidFill>
                    <w14:schemeClr w14:val="tx1"/>
                  </w14:solidFill>
                </w14:textFill>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389" w:type="dxa"/>
            <w:tcBorders>
              <w:top w:val="double" w:color="auto" w:sz="4" w:space="0"/>
              <w:left w:val="nil"/>
            </w:tcBorders>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default" w:ascii="Times New Roman" w:hAnsi="Times New Roman" w:eastAsia="宋体" w:cs="Times New Roman"/>
                <w:b/>
                <w:color w:val="auto"/>
                <w:sz w:val="21"/>
                <w:szCs w:val="21"/>
                <w:shd w:val="clear" w:color="auto" w:fill="auto"/>
              </w:rPr>
            </w:pPr>
            <w:r>
              <w:rPr>
                <w:rFonts w:hint="eastAsia" w:ascii="Times New Roman" w:hAnsi="Times New Roman" w:cs="Times New Roman"/>
                <w:b w:val="0"/>
                <w:bCs w:val="0"/>
                <w:sz w:val="21"/>
                <w:szCs w:val="21"/>
                <w:lang w:val="en-US" w:eastAsia="zh-CN"/>
              </w:rPr>
              <w:t>立即采取措施，对原矿山遗留的废石堆场进行清理和处置，废石用于回填矿山采空区，</w:t>
            </w:r>
            <w:r>
              <w:rPr>
                <w:rFonts w:hint="eastAsia" w:cs="Times New Roman"/>
                <w:b w:val="0"/>
                <w:bCs w:val="0"/>
                <w:sz w:val="21"/>
                <w:szCs w:val="21"/>
                <w:lang w:val="en-US" w:eastAsia="zh-CN"/>
              </w:rPr>
              <w:t>并对废石堆场区域进行生态恢复、落实</w:t>
            </w:r>
            <w:r>
              <w:rPr>
                <w:rFonts w:hint="eastAsia" w:ascii="Times New Roman" w:hAnsi="Times New Roman" w:cs="Times New Roman"/>
                <w:b w:val="0"/>
                <w:bCs w:val="0"/>
                <w:sz w:val="21"/>
                <w:szCs w:val="21"/>
                <w:lang w:val="en-US" w:eastAsia="zh-CN"/>
              </w:rPr>
              <w:t>水土保持措施</w:t>
            </w:r>
            <w:r>
              <w:rPr>
                <w:rFonts w:hint="eastAsia" w:cs="Times New Roman"/>
                <w:b w:val="0"/>
                <w:bCs w:val="0"/>
                <w:sz w:val="21"/>
                <w:szCs w:val="21"/>
                <w:lang w:val="en-US" w:eastAsia="zh-CN"/>
              </w:rPr>
              <w:t>，并书面报告池州市环保局，待落实整改措施并经池州市环保局书面同意后，项目方可开工建设。</w:t>
            </w:r>
          </w:p>
        </w:tc>
        <w:tc>
          <w:tcPr>
            <w:tcW w:w="3806" w:type="dxa"/>
            <w:tcBorders>
              <w:top w:val="double" w:color="auto" w:sz="4" w:space="0"/>
              <w:right w:val="nil"/>
            </w:tcBorders>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default" w:ascii="Times New Roman" w:hAnsi="Times New Roman" w:eastAsia="宋体" w:cs="Times New Roman"/>
                <w:b/>
                <w:color w:val="auto"/>
                <w:sz w:val="21"/>
                <w:szCs w:val="21"/>
                <w:shd w:val="clear" w:color="auto" w:fill="auto"/>
              </w:rPr>
            </w:pPr>
            <w:r>
              <w:rPr>
                <w:rFonts w:hint="eastAsia" w:ascii="Times New Roman" w:hAnsi="Times New Roman" w:cs="Times New Roman"/>
                <w:b w:val="0"/>
                <w:bCs w:val="0"/>
                <w:sz w:val="21"/>
                <w:szCs w:val="21"/>
                <w:lang w:val="en-US" w:eastAsia="zh-CN"/>
              </w:rPr>
              <w:t>原矿山遗留的废石堆场</w:t>
            </w:r>
            <w:r>
              <w:rPr>
                <w:rFonts w:hint="eastAsia" w:cs="Times New Roman"/>
                <w:b w:val="0"/>
                <w:bCs w:val="0"/>
                <w:sz w:val="21"/>
                <w:szCs w:val="21"/>
                <w:lang w:val="en-US" w:eastAsia="zh-CN"/>
              </w:rPr>
              <w:t>已经</w:t>
            </w:r>
            <w:r>
              <w:rPr>
                <w:rFonts w:hint="eastAsia" w:ascii="Times New Roman" w:hAnsi="Times New Roman" w:cs="Times New Roman"/>
                <w:b w:val="0"/>
                <w:bCs w:val="0"/>
                <w:sz w:val="21"/>
                <w:szCs w:val="21"/>
                <w:lang w:val="en-US" w:eastAsia="zh-CN"/>
              </w:rPr>
              <w:t>进行清理处置</w:t>
            </w:r>
            <w:r>
              <w:rPr>
                <w:rFonts w:hint="eastAsia" w:cs="Times New Roman"/>
                <w:b w:val="0"/>
                <w:bCs w:val="0"/>
                <w:sz w:val="21"/>
                <w:szCs w:val="21"/>
                <w:lang w:val="en-US" w:eastAsia="zh-CN"/>
              </w:rPr>
              <w:t>，</w:t>
            </w:r>
            <w:r>
              <w:rPr>
                <w:rFonts w:hint="eastAsia" w:ascii="Times New Roman" w:hAnsi="Times New Roman" w:cs="Times New Roman"/>
                <w:b w:val="0"/>
                <w:bCs w:val="0"/>
                <w:sz w:val="21"/>
                <w:szCs w:val="21"/>
                <w:lang w:val="en-US" w:eastAsia="zh-CN"/>
              </w:rPr>
              <w:t>废石回填矿山采空区，</w:t>
            </w:r>
            <w:r>
              <w:rPr>
                <w:rFonts w:hint="eastAsia" w:cs="Times New Roman"/>
                <w:b w:val="0"/>
                <w:bCs w:val="0"/>
                <w:sz w:val="21"/>
                <w:szCs w:val="21"/>
                <w:lang w:val="en-US" w:eastAsia="zh-CN"/>
              </w:rPr>
              <w:t>并覆土绿化，对废石堆场区域进行生态恢复，效果较好，已落实</w:t>
            </w:r>
            <w:r>
              <w:rPr>
                <w:rFonts w:hint="eastAsia" w:ascii="Times New Roman" w:hAnsi="Times New Roman" w:cs="Times New Roman"/>
                <w:b w:val="0"/>
                <w:bCs w:val="0"/>
                <w:sz w:val="21"/>
                <w:szCs w:val="21"/>
                <w:lang w:val="en-US" w:eastAsia="zh-CN"/>
              </w:rPr>
              <w:t>水土保持措施</w:t>
            </w:r>
            <w:r>
              <w:rPr>
                <w:rFonts w:hint="eastAsia" w:cs="Times New Roman"/>
                <w:b w:val="0"/>
                <w:bCs w:val="0"/>
                <w:sz w:val="21"/>
                <w:szCs w:val="21"/>
                <w:lang w:val="en-US" w:eastAsia="zh-CN"/>
              </w:rPr>
              <w:t>，水土保持已通过验收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389" w:type="dxa"/>
            <w:tcBorders>
              <w:top w:val="double" w:color="auto" w:sz="4" w:space="0"/>
              <w:left w:val="nil"/>
            </w:tcBorders>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default" w:ascii="Times New Roman" w:hAnsi="Times New Roman" w:eastAsia="宋体" w:cs="Times New Roman"/>
                <w:b/>
                <w:color w:val="auto"/>
                <w:sz w:val="21"/>
                <w:szCs w:val="21"/>
                <w:shd w:val="clear" w:color="auto" w:fill="auto"/>
              </w:rPr>
            </w:pPr>
            <w:r>
              <w:rPr>
                <w:rFonts w:hint="eastAsia" w:ascii="Times New Roman" w:hAnsi="Times New Roman" w:cs="Times New Roman"/>
                <w:b w:val="0"/>
                <w:bCs w:val="0"/>
                <w:sz w:val="21"/>
                <w:szCs w:val="21"/>
                <w:lang w:val="en-US" w:eastAsia="zh-CN"/>
              </w:rPr>
              <w:t>按《中华人民共和国矿产资源法》相关规定，对本矿山</w:t>
            </w:r>
            <w:r>
              <w:rPr>
                <w:rFonts w:hint="eastAsia" w:cs="Times New Roman"/>
                <w:b w:val="0"/>
                <w:bCs w:val="0"/>
                <w:sz w:val="21"/>
                <w:szCs w:val="21"/>
                <w:lang w:val="en-US" w:eastAsia="zh-CN"/>
              </w:rPr>
              <w:t>涉及</w:t>
            </w:r>
            <w:r>
              <w:rPr>
                <w:rFonts w:hint="eastAsia" w:ascii="Times New Roman" w:hAnsi="Times New Roman" w:cs="Times New Roman"/>
                <w:b w:val="0"/>
                <w:bCs w:val="0"/>
                <w:sz w:val="21"/>
                <w:szCs w:val="21"/>
                <w:lang w:val="en-US" w:eastAsia="zh-CN"/>
              </w:rPr>
              <w:t>的伴生资源，统一规划、综合开采利用，防止浪费和损失破坏。</w:t>
            </w:r>
          </w:p>
        </w:tc>
        <w:tc>
          <w:tcPr>
            <w:tcW w:w="3806" w:type="dxa"/>
            <w:tcBorders>
              <w:top w:val="double" w:color="auto" w:sz="4" w:space="0"/>
              <w:right w:val="nil"/>
            </w:tcBorders>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default" w:ascii="Times New Roman" w:hAnsi="Times New Roman" w:eastAsia="宋体" w:cs="Times New Roman"/>
                <w:b/>
                <w:color w:val="auto"/>
                <w:sz w:val="21"/>
                <w:szCs w:val="21"/>
                <w:shd w:val="clear" w:color="auto" w:fill="auto"/>
              </w:rPr>
            </w:pPr>
            <w:r>
              <w:rPr>
                <w:rFonts w:hint="eastAsia" w:ascii="Times New Roman" w:hAnsi="Times New Roman" w:cs="Times New Roman"/>
                <w:b w:val="0"/>
                <w:bCs w:val="0"/>
                <w:sz w:val="21"/>
                <w:szCs w:val="21"/>
                <w:lang w:val="en-US" w:eastAsia="zh-CN"/>
              </w:rPr>
              <w:t>本矿山</w:t>
            </w:r>
            <w:r>
              <w:rPr>
                <w:rFonts w:hint="eastAsia" w:cs="Times New Roman"/>
                <w:b w:val="0"/>
                <w:bCs w:val="0"/>
                <w:sz w:val="21"/>
                <w:szCs w:val="21"/>
                <w:lang w:val="en-US" w:eastAsia="zh-CN"/>
              </w:rPr>
              <w:t>涉及</w:t>
            </w:r>
            <w:r>
              <w:rPr>
                <w:rFonts w:hint="eastAsia" w:ascii="Times New Roman" w:hAnsi="Times New Roman" w:cs="Times New Roman"/>
                <w:b w:val="0"/>
                <w:bCs w:val="0"/>
                <w:sz w:val="21"/>
                <w:szCs w:val="21"/>
                <w:lang w:val="en-US" w:eastAsia="zh-CN"/>
              </w:rPr>
              <w:t>的伴生资源，</w:t>
            </w:r>
            <w:r>
              <w:rPr>
                <w:rFonts w:hint="eastAsia" w:cs="Times New Roman"/>
                <w:b w:val="0"/>
                <w:bCs w:val="0"/>
                <w:sz w:val="21"/>
                <w:szCs w:val="21"/>
                <w:lang w:val="en-US" w:eastAsia="zh-CN"/>
              </w:rPr>
              <w:t>项目未进行开采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22" w:hRule="atLeast"/>
          <w:jc w:val="center"/>
        </w:trPr>
        <w:tc>
          <w:tcPr>
            <w:tcW w:w="5389" w:type="dxa"/>
            <w:tcBorders>
              <w:left w:val="nil"/>
            </w:tcBorders>
            <w:vAlign w:val="center"/>
          </w:tcPr>
          <w:p>
            <w:pPr>
              <w:keepNext w:val="0"/>
              <w:keepLines w:val="0"/>
              <w:numPr>
                <w:ilvl w:val="0"/>
                <w:numId w:val="0"/>
              </w:numPr>
              <w:suppressLineNumbers w:val="0"/>
              <w:spacing w:before="0" w:beforeAutospacing="0" w:after="0" w:afterAutospacing="0" w:line="240" w:lineRule="auto"/>
              <w:ind w:left="0" w:right="0"/>
              <w:jc w:val="both"/>
              <w:rPr>
                <w:rFonts w:hint="default" w:ascii="Times New Roman" w:hAnsi="Times New Roman" w:eastAsia="宋体" w:cs="Times New Roman"/>
                <w:color w:val="auto"/>
                <w:sz w:val="21"/>
                <w:szCs w:val="21"/>
                <w:shd w:val="clear" w:color="auto" w:fill="auto"/>
              </w:rPr>
            </w:pPr>
            <w:r>
              <w:rPr>
                <w:rFonts w:hint="eastAsia" w:ascii="Times New Roman" w:hAnsi="Times New Roman" w:cs="Times New Roman"/>
                <w:b w:val="0"/>
                <w:bCs w:val="0"/>
                <w:color w:val="auto"/>
                <w:sz w:val="21"/>
                <w:szCs w:val="21"/>
                <w:lang w:val="en-US" w:eastAsia="zh-CN"/>
              </w:rPr>
              <w:t>工程要针对项目所在区域环境特征，制定生态恢复计划，对矿石和废石临时堆场、工业场地等及时进行综合生态治理和恢复，加强影响区地表形态变化观测，及时做好矿山开采引起的地表错动治理，生态修复及地表错动区综合治理应纳入工程设计中，土地复垦和生态恢复所需资金由建设单位负责解决。</w:t>
            </w:r>
          </w:p>
        </w:tc>
        <w:tc>
          <w:tcPr>
            <w:tcW w:w="3806"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eastAsia" w:ascii="Times New Roman" w:hAnsi="Times New Roman" w:eastAsia="宋体" w:cs="Times New Roman"/>
                <w:color w:val="auto"/>
                <w:sz w:val="21"/>
                <w:szCs w:val="21"/>
                <w:shd w:val="clear" w:color="auto" w:fill="auto"/>
                <w:lang w:val="en-US" w:eastAsia="zh-CN"/>
              </w:rPr>
            </w:pPr>
            <w:r>
              <w:rPr>
                <w:rFonts w:hint="eastAsia" w:cs="Times New Roman"/>
                <w:color w:val="auto"/>
                <w:sz w:val="21"/>
                <w:szCs w:val="21"/>
                <w:shd w:val="clear" w:color="auto" w:fill="auto"/>
                <w:lang w:val="en-US" w:eastAsia="zh-CN"/>
              </w:rPr>
              <w:t>已制定了生态恢复计划，取消了矿石和废石临时堆场，对原</w:t>
            </w:r>
            <w:r>
              <w:rPr>
                <w:rFonts w:hint="eastAsia" w:ascii="Times New Roman" w:hAnsi="Times New Roman" w:cs="Times New Roman"/>
                <w:b w:val="0"/>
                <w:bCs w:val="0"/>
                <w:color w:val="auto"/>
                <w:sz w:val="21"/>
                <w:szCs w:val="21"/>
                <w:lang w:val="en-US" w:eastAsia="zh-CN"/>
              </w:rPr>
              <w:t>矿石和废石临时堆场、工业场地等及时进行</w:t>
            </w:r>
            <w:r>
              <w:rPr>
                <w:rFonts w:hint="eastAsia" w:cs="Times New Roman"/>
                <w:b w:val="0"/>
                <w:bCs w:val="0"/>
                <w:color w:val="auto"/>
                <w:sz w:val="21"/>
                <w:szCs w:val="21"/>
                <w:lang w:val="en-US" w:eastAsia="zh-CN"/>
              </w:rPr>
              <w:t>覆土，种植与周边生态环境相融合的草本和树木，逐步落实</w:t>
            </w:r>
            <w:r>
              <w:rPr>
                <w:rFonts w:hint="eastAsia" w:ascii="Times New Roman" w:hAnsi="Times New Roman" w:cs="Times New Roman"/>
                <w:b w:val="0"/>
                <w:bCs w:val="0"/>
                <w:color w:val="auto"/>
                <w:sz w:val="21"/>
                <w:szCs w:val="21"/>
                <w:lang w:val="en-US" w:eastAsia="zh-CN"/>
              </w:rPr>
              <w:t>综合生态治理和恢复</w:t>
            </w:r>
            <w:r>
              <w:rPr>
                <w:rFonts w:hint="eastAsia" w:cs="Times New Roman"/>
                <w:b w:val="0"/>
                <w:bCs w:val="0"/>
                <w:color w:val="auto"/>
                <w:sz w:val="21"/>
                <w:szCs w:val="21"/>
                <w:lang w:val="en-US" w:eastAsia="zh-CN"/>
              </w:rPr>
              <w:t>，项目针对可能引起的</w:t>
            </w:r>
            <w:r>
              <w:rPr>
                <w:rFonts w:hint="eastAsia" w:ascii="Times New Roman" w:hAnsi="Times New Roman" w:cs="Times New Roman"/>
                <w:b w:val="0"/>
                <w:bCs w:val="0"/>
                <w:color w:val="auto"/>
                <w:sz w:val="21"/>
                <w:szCs w:val="21"/>
                <w:lang w:val="en-US" w:eastAsia="zh-CN"/>
              </w:rPr>
              <w:t>地表错动</w:t>
            </w:r>
            <w:r>
              <w:rPr>
                <w:rFonts w:hint="eastAsia" w:cs="Times New Roman"/>
                <w:b w:val="0"/>
                <w:bCs w:val="0"/>
                <w:color w:val="auto"/>
                <w:sz w:val="21"/>
                <w:szCs w:val="21"/>
                <w:lang w:val="en-US" w:eastAsia="zh-CN"/>
              </w:rPr>
              <w:t>进行定期观测和预防。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6" w:hRule="atLeast"/>
          <w:jc w:val="center"/>
        </w:trPr>
        <w:tc>
          <w:tcPr>
            <w:tcW w:w="5389" w:type="dxa"/>
            <w:tcBorders>
              <w:lef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default" w:ascii="Times New Roman" w:hAnsi="Times New Roman" w:eastAsia="宋体" w:cs="Times New Roman"/>
                <w:bCs/>
                <w:color w:val="auto"/>
                <w:sz w:val="21"/>
                <w:szCs w:val="21"/>
                <w:shd w:val="clear" w:color="auto" w:fill="auto"/>
              </w:rPr>
            </w:pPr>
            <w:r>
              <w:rPr>
                <w:rFonts w:hint="eastAsia" w:ascii="Times New Roman" w:hAnsi="Times New Roman" w:cs="Times New Roman"/>
                <w:b w:val="0"/>
                <w:bCs w:val="0"/>
                <w:color w:val="auto"/>
                <w:sz w:val="21"/>
                <w:szCs w:val="21"/>
                <w:lang w:val="en-US" w:eastAsia="zh-CN"/>
              </w:rPr>
              <w:t>做好水资源保护和利用工作，实施清污分流、雨污分流，一水多用，工业场地周边应建设截水沟、沉沙池等设施，以减少进入工业场地的雨水量，项目矿井涌水、矿石和废石临时堆场淋溶水应配套建设收集处理系统，处理后的废水优先用于矿井生产，多余部分送签约利用的池州市世源矿业发展有限公司作为选矿生产用水，不得外排；废（矿）石临时堆场应加设顶棚。合理布局矿区地下水监测井，定期对地下水水质进行监测，发现污染时应立即采取措施阻断污染源，防止污染扩延并清理污染。矿山不得建设职工生活设施。</w:t>
            </w:r>
          </w:p>
        </w:tc>
        <w:tc>
          <w:tcPr>
            <w:tcW w:w="3806"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eastAsia" w:ascii="Times New Roman" w:hAnsi="Times New Roman" w:eastAsia="宋体" w:cs="Times New Roman"/>
                <w:color w:val="auto"/>
                <w:sz w:val="21"/>
                <w:szCs w:val="21"/>
                <w:shd w:val="clear" w:color="auto" w:fill="auto"/>
                <w:lang w:eastAsia="zh-CN"/>
              </w:rPr>
            </w:pPr>
            <w:r>
              <w:rPr>
                <w:rFonts w:hint="eastAsia" w:cs="Times New Roman"/>
                <w:color w:val="auto"/>
                <w:sz w:val="21"/>
                <w:szCs w:val="21"/>
                <w:shd w:val="clear" w:color="auto" w:fill="auto"/>
                <w:lang w:eastAsia="zh-CN"/>
              </w:rPr>
              <w:t>项目已建设了雨污分流系统，场地周边建设截水沟，将雨水引流至附近山谷中间的排水沟；已建设了两座沉淀池，同时配备有矿井涌水和矿石淋溶水收集沟，目前废水产生量较少，处理后的废水全部会用于生产，不外排。取消了矿石和废石堆场。矿区地下水监测井采用的是矿区周围民用水井，未重新挖掘。矿山上未建设任何职工生活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6" w:hRule="atLeast"/>
          <w:jc w:val="center"/>
        </w:trPr>
        <w:tc>
          <w:tcPr>
            <w:tcW w:w="5389" w:type="dxa"/>
            <w:tcBorders>
              <w:left w:val="nil"/>
            </w:tcBorders>
            <w:vAlign w:val="center"/>
          </w:tcPr>
          <w:p>
            <w:pPr>
              <w:keepNext w:val="0"/>
              <w:keepLines w:val="0"/>
              <w:numPr>
                <w:ilvl w:val="0"/>
                <w:numId w:val="0"/>
              </w:numPr>
              <w:suppressLineNumbers w:val="0"/>
              <w:spacing w:before="0" w:beforeAutospacing="0" w:after="0" w:afterAutospacing="0" w:line="240" w:lineRule="auto"/>
              <w:ind w:left="0" w:right="0"/>
              <w:jc w:val="both"/>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建设单位应重视项目开发对生产设施、基础设施的影响，并采取确实可行的保护措施，如因项目采矿引起的地表错动导致道路、水利等基础设施受到破坏，以及因矿井疏于排水影响区域植被生长，由你公司负责解决或恢复。</w:t>
            </w:r>
          </w:p>
        </w:tc>
        <w:tc>
          <w:tcPr>
            <w:tcW w:w="3806"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项目运行至今未引起地表错动导致道路、水利等基础设施受到破坏，项目制定并落实了水土保持的相关措施，并以通过验收。矿井排水及时，植被生长受影响区域已落实生态恢复措施，减少对自然环境的影响。企业承诺若出现上述问题负责解决或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6" w:hRule="atLeast"/>
          <w:jc w:val="center"/>
        </w:trPr>
        <w:tc>
          <w:tcPr>
            <w:tcW w:w="5389" w:type="dxa"/>
            <w:tcBorders>
              <w:lef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项目应及时做好废石回填采空区工作，严格控制临时矿石堆场堆置量和面积，生产全过程产生的废石应不出井并全部回填采空区，不得外排。本项目矿石经池州市世源矿业发展有限公司选矿加工后产生的尾砂应运回，用于本项目矿山开采形成的采空区充填。固废堆存场所严格执行《一般工业固体废物贮存、处置场污染控制标准》（GB18599-2001）有关要求。原姚街铅锌矿现有废石堆场所存目前不能全部回填的废石，应在生产过程中逐步回填采空区，服务期满时废石应当全部回填，堆场应进行生态恢复，生活垃圾收集并交环卫部门处理。</w:t>
            </w:r>
          </w:p>
        </w:tc>
        <w:tc>
          <w:tcPr>
            <w:tcW w:w="3806"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eastAsia" w:cs="Times New Roman"/>
                <w:color w:val="auto"/>
                <w:sz w:val="21"/>
                <w:szCs w:val="21"/>
                <w:lang w:val="en-US" w:eastAsia="zh-CN"/>
              </w:rPr>
            </w:pPr>
            <w:r>
              <w:rPr>
                <w:rFonts w:hint="eastAsia" w:cs="Times New Roman"/>
                <w:color w:val="auto"/>
                <w:sz w:val="21"/>
                <w:szCs w:val="21"/>
                <w:shd w:val="clear" w:color="auto" w:fill="auto"/>
                <w:lang w:val="en-US" w:eastAsia="zh-CN"/>
              </w:rPr>
              <w:t>项目废石全部不出矿井，直接回填至采空区，项目已取消矿石堆场，矿石经池州市</w:t>
            </w:r>
            <w:r>
              <w:rPr>
                <w:rFonts w:hint="eastAsia" w:ascii="Times New Roman" w:hAnsi="Times New Roman" w:cs="Times New Roman"/>
                <w:b w:val="0"/>
                <w:bCs w:val="0"/>
                <w:color w:val="auto"/>
                <w:sz w:val="21"/>
                <w:szCs w:val="21"/>
                <w:lang w:val="en-US" w:eastAsia="zh-CN"/>
              </w:rPr>
              <w:t>世源矿业发展有限公司选矿加工后产生的尾砂运回</w:t>
            </w:r>
            <w:r>
              <w:rPr>
                <w:rFonts w:hint="eastAsia"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用于本项目矿山开采形成的采空区充填。</w:t>
            </w:r>
            <w:r>
              <w:rPr>
                <w:rFonts w:hint="eastAsia" w:cs="Times New Roman"/>
                <w:b w:val="0"/>
                <w:bCs w:val="0"/>
                <w:color w:val="auto"/>
                <w:sz w:val="21"/>
                <w:szCs w:val="21"/>
                <w:lang w:val="en-US" w:eastAsia="zh-CN"/>
              </w:rPr>
              <w:t>废矿石堆场也已取消，进行了生态恢复，</w:t>
            </w:r>
            <w:r>
              <w:rPr>
                <w:rFonts w:hint="eastAsia" w:ascii="Times New Roman" w:hAnsi="Times New Roman" w:cs="Times New Roman"/>
                <w:b w:val="0"/>
                <w:bCs w:val="0"/>
                <w:color w:val="auto"/>
                <w:sz w:val="21"/>
                <w:szCs w:val="21"/>
                <w:lang w:val="en-US" w:eastAsia="zh-CN"/>
              </w:rPr>
              <w:t>原姚街铅锌矿</w:t>
            </w:r>
            <w:r>
              <w:rPr>
                <w:rFonts w:hint="eastAsia" w:cs="Times New Roman"/>
                <w:b w:val="0"/>
                <w:bCs w:val="0"/>
                <w:color w:val="auto"/>
                <w:sz w:val="21"/>
                <w:szCs w:val="21"/>
                <w:lang w:val="en-US" w:eastAsia="zh-CN"/>
              </w:rPr>
              <w:t>生产过程中废石现已全部回填至采空区，生活垃圾已交由环卫部门处理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389" w:type="dxa"/>
            <w:tcBorders>
              <w:lef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eastAsia"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矿区如需供热，应采用清洁能源，不得建设燃煤锅炉房，落实井下生产、矿（废）石临时堆场、道路运输等的空气污染控制措施，减少无组织排放，颗粒物等污染物的无组织排放厂界监控浓度执行《铅、锌工业污染物排放标准》（GB25466-2010）表6限值要求。</w:t>
            </w:r>
          </w:p>
        </w:tc>
        <w:tc>
          <w:tcPr>
            <w:tcW w:w="3806"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eastAsia" w:cs="Times New Roman"/>
                <w:color w:val="auto"/>
                <w:sz w:val="21"/>
                <w:szCs w:val="21"/>
                <w:lang w:val="en-US" w:eastAsia="zh-CN"/>
              </w:rPr>
            </w:pPr>
            <w:r>
              <w:rPr>
                <w:rFonts w:hint="eastAsia" w:cs="Times New Roman"/>
                <w:color w:val="auto"/>
                <w:sz w:val="21"/>
                <w:szCs w:val="21"/>
                <w:lang w:val="en-US" w:eastAsia="zh-CN"/>
              </w:rPr>
              <w:t>矿区未建设锅炉房，执行了空气污染控制措施，颗粒物等污染物无组织排放满足</w:t>
            </w:r>
            <w:r>
              <w:rPr>
                <w:rFonts w:hint="eastAsia" w:ascii="Times New Roman" w:hAnsi="Times New Roman" w:cs="Times New Roman"/>
                <w:b w:val="0"/>
                <w:bCs w:val="0"/>
                <w:color w:val="auto"/>
                <w:sz w:val="21"/>
                <w:szCs w:val="21"/>
                <w:lang w:val="en-US" w:eastAsia="zh-CN"/>
              </w:rPr>
              <w:t>《铅、锌工业污染物排放标准》（GB25466-2010）表6限值要求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5389" w:type="dxa"/>
            <w:tcBorders>
              <w:left w:val="nil"/>
            </w:tcBorders>
            <w:vAlign w:val="center"/>
          </w:tcPr>
          <w:p>
            <w:pPr>
              <w:keepNext w:val="0"/>
              <w:keepLines w:val="0"/>
              <w:numPr>
                <w:ilvl w:val="0"/>
                <w:numId w:val="0"/>
              </w:numPr>
              <w:suppressLineNumbers w:val="0"/>
              <w:spacing w:before="0" w:beforeAutospacing="0" w:after="0" w:afterAutospacing="0" w:line="240" w:lineRule="auto"/>
              <w:ind w:left="0" w:right="0"/>
              <w:jc w:val="both"/>
              <w:rPr>
                <w:rFonts w:hint="default" w:ascii="Times New Roman" w:hAnsi="Times New Roman" w:eastAsia="宋体" w:cs="Times New Roman"/>
                <w:bCs/>
                <w:color w:val="auto"/>
                <w:sz w:val="21"/>
                <w:szCs w:val="21"/>
                <w:shd w:val="clear" w:color="auto" w:fill="auto"/>
              </w:rPr>
            </w:pPr>
            <w:r>
              <w:rPr>
                <w:rFonts w:hint="eastAsia" w:ascii="Times New Roman" w:hAnsi="Times New Roman" w:cs="Times New Roman"/>
                <w:b w:val="0"/>
                <w:bCs w:val="0"/>
                <w:color w:val="auto"/>
                <w:sz w:val="21"/>
                <w:szCs w:val="21"/>
                <w:lang w:val="en-US" w:eastAsia="zh-CN"/>
              </w:rPr>
              <w:t>选用低噪声设备，优化总图布置，合理布置高噪声源，采取切实可行的隔声、消音、减震等降噪措施。厂界环境噪声执行《工业企业厂界环境噪声排放标准》（GB12348-2008）</w:t>
            </w:r>
            <w:r>
              <w:rPr>
                <w:rFonts w:hint="eastAsia" w:cs="Times New Roman"/>
                <w:b w:val="0"/>
                <w:bCs w:val="0"/>
                <w:color w:val="auto"/>
                <w:sz w:val="21"/>
                <w:szCs w:val="21"/>
                <w:lang w:val="en-US" w:eastAsia="zh-CN"/>
              </w:rPr>
              <w:t>1</w:t>
            </w:r>
            <w:r>
              <w:rPr>
                <w:rFonts w:hint="eastAsia" w:ascii="Times New Roman" w:hAnsi="Times New Roman" w:cs="Times New Roman"/>
                <w:b w:val="0"/>
                <w:bCs w:val="0"/>
                <w:color w:val="auto"/>
                <w:sz w:val="21"/>
                <w:szCs w:val="21"/>
                <w:lang w:val="en-US" w:eastAsia="zh-CN"/>
              </w:rPr>
              <w:t>类标准。进一步优化运输路线，强化运输过程的噪声预防和治理，避免夜间装卸和运输，严禁噪声扰民。</w:t>
            </w:r>
          </w:p>
        </w:tc>
        <w:tc>
          <w:tcPr>
            <w:tcW w:w="3806"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default" w:ascii="Times New Roman" w:hAnsi="Times New Roman" w:eastAsia="宋体" w:cs="Times New Roman"/>
                <w:color w:val="auto"/>
                <w:sz w:val="21"/>
                <w:szCs w:val="21"/>
                <w:shd w:val="clear" w:color="auto" w:fill="auto"/>
              </w:rPr>
            </w:pPr>
            <w:r>
              <w:rPr>
                <w:rFonts w:hint="eastAsia" w:ascii="Times New Roman" w:hAnsi="Times New Roman" w:cs="Times New Roman"/>
                <w:b w:val="0"/>
                <w:bCs w:val="0"/>
                <w:color w:val="auto"/>
                <w:sz w:val="21"/>
                <w:szCs w:val="21"/>
                <w:lang w:val="en-US" w:eastAsia="zh-CN"/>
              </w:rPr>
              <w:t>选用低噪声设备，优化总图布置，合理布置高噪声源，</w:t>
            </w:r>
            <w:r>
              <w:rPr>
                <w:rFonts w:hint="eastAsia" w:cs="Times New Roman"/>
                <w:b w:val="0"/>
                <w:bCs w:val="0"/>
                <w:color w:val="auto"/>
                <w:sz w:val="21"/>
                <w:szCs w:val="21"/>
                <w:lang w:val="en-US" w:eastAsia="zh-CN"/>
              </w:rPr>
              <w:t>已</w:t>
            </w:r>
            <w:r>
              <w:rPr>
                <w:rFonts w:hint="eastAsia" w:ascii="Times New Roman" w:hAnsi="Times New Roman" w:cs="Times New Roman"/>
                <w:b w:val="0"/>
                <w:bCs w:val="0"/>
                <w:color w:val="auto"/>
                <w:sz w:val="21"/>
                <w:szCs w:val="21"/>
                <w:lang w:val="en-US" w:eastAsia="zh-CN"/>
              </w:rPr>
              <w:t>采取切实可行的隔声、消音、减震等降噪措施</w:t>
            </w:r>
            <w:r>
              <w:rPr>
                <w:rFonts w:hint="eastAsia" w:cs="Times New Roman"/>
                <w:b w:val="0"/>
                <w:bCs w:val="0"/>
                <w:color w:val="auto"/>
                <w:sz w:val="21"/>
                <w:szCs w:val="21"/>
                <w:lang w:val="en-US" w:eastAsia="zh-CN"/>
              </w:rPr>
              <w:t>，</w:t>
            </w:r>
            <w:r>
              <w:rPr>
                <w:rFonts w:hint="eastAsia"/>
                <w:color w:val="auto"/>
                <w:sz w:val="21"/>
                <w:szCs w:val="21"/>
                <w:vertAlign w:val="baseline"/>
                <w:lang w:val="en-US" w:eastAsia="zh-CN"/>
              </w:rPr>
              <w:t>项目厂界昼夜噪声均达标，硬化运输路面，杜绝夜间装卸和运输，运输过程禁止鸣笛。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5" w:hRule="atLeast"/>
          <w:jc w:val="center"/>
        </w:trPr>
        <w:tc>
          <w:tcPr>
            <w:tcW w:w="5389" w:type="dxa"/>
            <w:tcBorders>
              <w:left w:val="nil"/>
            </w:tcBorders>
            <w:vAlign w:val="center"/>
          </w:tcPr>
          <w:p>
            <w:pPr>
              <w:keepNext w:val="0"/>
              <w:keepLines w:val="0"/>
              <w:numPr>
                <w:ilvl w:val="0"/>
                <w:numId w:val="0"/>
              </w:numPr>
              <w:suppressLineNumbers w:val="0"/>
              <w:spacing w:before="0" w:beforeAutospacing="0" w:after="0" w:afterAutospacing="0" w:line="240" w:lineRule="auto"/>
              <w:ind w:left="0" w:right="0"/>
              <w:jc w:val="both"/>
              <w:rPr>
                <w:rFonts w:hint="default" w:ascii="Times New Roman" w:hAnsi="Times New Roman" w:eastAsia="宋体" w:cs="Times New Roman"/>
                <w:bCs/>
                <w:color w:val="auto"/>
                <w:sz w:val="21"/>
                <w:szCs w:val="21"/>
                <w:shd w:val="clear" w:color="auto" w:fill="auto"/>
              </w:rPr>
            </w:pPr>
            <w:r>
              <w:rPr>
                <w:rFonts w:hint="eastAsia" w:ascii="Times New Roman" w:hAnsi="Times New Roman" w:cs="Times New Roman"/>
                <w:b w:val="0"/>
                <w:bCs w:val="0"/>
                <w:color w:val="auto"/>
                <w:sz w:val="21"/>
                <w:szCs w:val="21"/>
                <w:lang w:val="en-US" w:eastAsia="zh-CN"/>
              </w:rPr>
              <w:t>落实批准的水土保持方案，加强施工期的环境管理，合理组织施工，落实水土保持、生态保护和污染物防治措施，严格控制环境影响；服务期满后，及时拆除建构筑物，并落实矿（废）石临时堆场、工业场地、运输道路等的生态恢复措施。项目建设期间应开展环境监理工作。</w:t>
            </w:r>
          </w:p>
        </w:tc>
        <w:tc>
          <w:tcPr>
            <w:tcW w:w="3806"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eastAsia" w:ascii="Times New Roman" w:hAnsi="Times New Roman" w:eastAsia="宋体" w:cs="Times New Roman"/>
                <w:color w:val="auto"/>
                <w:sz w:val="21"/>
                <w:szCs w:val="21"/>
                <w:shd w:val="clear" w:color="auto" w:fill="auto"/>
                <w:lang w:eastAsia="zh-CN"/>
              </w:rPr>
            </w:pPr>
            <w:r>
              <w:rPr>
                <w:rFonts w:hint="eastAsia" w:cs="Times New Roman"/>
                <w:color w:val="000000" w:themeColor="text1"/>
                <w:sz w:val="21"/>
                <w:szCs w:val="21"/>
                <w:shd w:val="clear" w:color="auto" w:fill="auto"/>
                <w:lang w:eastAsia="zh-CN"/>
                <w14:textFill>
                  <w14:solidFill>
                    <w14:schemeClr w14:val="tx1"/>
                  </w14:solidFill>
                </w14:textFill>
              </w:rPr>
              <w:t>已落实批准的水土保持方案，水土保持方案已通过验收。治理严格执行施工期的环境管理，</w:t>
            </w: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合理组织施工，落实水土保持、生态保护和污染物防治措施，严格控制环境影响</w:t>
            </w:r>
            <w:r>
              <w:rPr>
                <w:rFonts w:hint="eastAsia" w:cs="Times New Roman"/>
                <w:b w:val="0"/>
                <w:bCs w:val="0"/>
                <w:color w:val="000000" w:themeColor="text1"/>
                <w:sz w:val="21"/>
                <w:szCs w:val="21"/>
                <w:lang w:val="en-US" w:eastAsia="zh-CN"/>
                <w14:textFill>
                  <w14:solidFill>
                    <w14:schemeClr w14:val="tx1"/>
                  </w14:solidFill>
                </w14:textFill>
              </w:rPr>
              <w:t>，项目建设期间未开展环境监理工作。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2" w:hRule="atLeast"/>
          <w:jc w:val="center"/>
        </w:trPr>
        <w:tc>
          <w:tcPr>
            <w:tcW w:w="5389" w:type="dxa"/>
            <w:tcBorders>
              <w:left w:val="nil"/>
            </w:tcBorders>
            <w:vAlign w:val="center"/>
          </w:tcPr>
          <w:p>
            <w:pPr>
              <w:pStyle w:val="24"/>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default" w:ascii="Times New Roman" w:hAnsi="Times New Roman" w:eastAsia="宋体" w:cs="Times New Roman"/>
                <w:bCs/>
                <w:color w:val="auto"/>
                <w:sz w:val="21"/>
                <w:szCs w:val="21"/>
                <w:shd w:val="clear" w:color="auto" w:fill="auto"/>
              </w:rPr>
            </w:pPr>
            <w:r>
              <w:rPr>
                <w:rFonts w:hint="eastAsia" w:ascii="Times New Roman" w:hAnsi="Times New Roman" w:cs="Times New Roman"/>
                <w:b w:val="0"/>
                <w:bCs w:val="0"/>
                <w:color w:val="auto"/>
                <w:sz w:val="21"/>
                <w:szCs w:val="21"/>
                <w:lang w:val="en-US" w:eastAsia="zh-CN"/>
              </w:rPr>
              <w:t>项目矿石全部外</w:t>
            </w:r>
            <w:r>
              <w:rPr>
                <w:rFonts w:hint="eastAsia" w:cs="Times New Roman"/>
                <w:b w:val="0"/>
                <w:bCs w:val="0"/>
                <w:color w:val="auto"/>
                <w:sz w:val="21"/>
                <w:szCs w:val="21"/>
                <w:lang w:val="en-US" w:eastAsia="zh-CN"/>
              </w:rPr>
              <w:t>售</w:t>
            </w:r>
            <w:r>
              <w:rPr>
                <w:rFonts w:hint="eastAsia" w:ascii="Times New Roman" w:hAnsi="Times New Roman" w:cs="Times New Roman"/>
                <w:b w:val="0"/>
                <w:bCs w:val="0"/>
                <w:color w:val="auto"/>
                <w:sz w:val="21"/>
                <w:szCs w:val="21"/>
                <w:lang w:val="en-US" w:eastAsia="zh-CN"/>
              </w:rPr>
              <w:t>给池州市世源矿业发展有限公司，并由其进行选矿，选矿尾砂经干化处理后应运回用于本项目井下充填，不得堆存于选矿厂尾矿库，尾砂运输车辆须加装密闭设施。池州市世源矿业发展有限公司选矿厂的污染防治措施和环境风险防范、应急措施必须符合国家相关环境保护法律法规要求。请池州市环保局先期检查，具备相应条件后方可实施，并加强日常督查。</w:t>
            </w:r>
          </w:p>
        </w:tc>
        <w:tc>
          <w:tcPr>
            <w:tcW w:w="3806"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eastAsia" w:ascii="Times New Roman" w:hAnsi="Times New Roman" w:eastAsia="宋体" w:cs="Times New Roman"/>
                <w:color w:val="auto"/>
                <w:sz w:val="21"/>
                <w:szCs w:val="21"/>
                <w:shd w:val="clear" w:color="auto" w:fill="auto"/>
                <w:lang w:eastAsia="zh-CN"/>
              </w:rPr>
            </w:pPr>
            <w:r>
              <w:rPr>
                <w:rFonts w:hint="eastAsia" w:ascii="Times New Roman" w:hAnsi="Times New Roman" w:cs="Times New Roman"/>
                <w:b w:val="0"/>
                <w:bCs w:val="0"/>
                <w:color w:val="auto"/>
                <w:sz w:val="21"/>
                <w:szCs w:val="21"/>
                <w:lang w:val="en-US" w:eastAsia="zh-CN"/>
              </w:rPr>
              <w:t>项目矿石全部外</w:t>
            </w:r>
            <w:r>
              <w:rPr>
                <w:rFonts w:hint="eastAsia" w:cs="Times New Roman"/>
                <w:b w:val="0"/>
                <w:bCs w:val="0"/>
                <w:color w:val="auto"/>
                <w:sz w:val="21"/>
                <w:szCs w:val="21"/>
                <w:lang w:val="en-US" w:eastAsia="zh-CN"/>
              </w:rPr>
              <w:t>售</w:t>
            </w:r>
            <w:r>
              <w:rPr>
                <w:rFonts w:hint="eastAsia" w:ascii="Times New Roman" w:hAnsi="Times New Roman" w:cs="Times New Roman"/>
                <w:b w:val="0"/>
                <w:bCs w:val="0"/>
                <w:color w:val="auto"/>
                <w:sz w:val="21"/>
                <w:szCs w:val="21"/>
                <w:lang w:val="en-US" w:eastAsia="zh-CN"/>
              </w:rPr>
              <w:t>给池州市世源矿业发展有限公司，并由其进行选矿，选矿尾砂经干化处理后应运回用于本项目井下充填</w:t>
            </w:r>
            <w:r>
              <w:rPr>
                <w:rFonts w:hint="eastAsia"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尾砂运输车辆</w:t>
            </w:r>
            <w:r>
              <w:rPr>
                <w:rFonts w:hint="eastAsia" w:cs="Times New Roman"/>
                <w:b w:val="0"/>
                <w:bCs w:val="0"/>
                <w:color w:val="auto"/>
                <w:sz w:val="21"/>
                <w:szCs w:val="21"/>
                <w:lang w:val="en-US" w:eastAsia="zh-CN"/>
              </w:rPr>
              <w:t>均</w:t>
            </w:r>
            <w:r>
              <w:rPr>
                <w:rFonts w:hint="eastAsia" w:ascii="Times New Roman" w:hAnsi="Times New Roman" w:cs="Times New Roman"/>
                <w:b w:val="0"/>
                <w:bCs w:val="0"/>
                <w:color w:val="auto"/>
                <w:sz w:val="21"/>
                <w:szCs w:val="21"/>
                <w:lang w:val="en-US" w:eastAsia="zh-CN"/>
              </w:rPr>
              <w:t>加装密闭设施</w:t>
            </w:r>
            <w:r>
              <w:rPr>
                <w:rFonts w:hint="eastAsia"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池州市世源矿业发展有限公司选矿厂的污染防治措施和环境风险防范、应急措施符合国家相关环境保护法律法规要求</w:t>
            </w:r>
            <w:r>
              <w:rPr>
                <w:rFonts w:hint="eastAsia"/>
                <w:sz w:val="21"/>
                <w:szCs w:val="21"/>
                <w:lang w:eastAsia="zh-CN"/>
              </w:rPr>
              <w:t>，世源矿业已通过竣工环境保护验收。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5389" w:type="dxa"/>
            <w:tcBorders>
              <w:left w:val="nil"/>
            </w:tcBorders>
            <w:vAlign w:val="center"/>
          </w:tcPr>
          <w:p>
            <w:pPr>
              <w:keepNext w:val="0"/>
              <w:keepLines w:val="0"/>
              <w:numPr>
                <w:ilvl w:val="0"/>
                <w:numId w:val="0"/>
              </w:numPr>
              <w:suppressLineNumbers w:val="0"/>
              <w:spacing w:before="0" w:beforeAutospacing="0" w:after="0" w:afterAutospacing="0" w:line="240" w:lineRule="auto"/>
              <w:ind w:left="0" w:right="0"/>
              <w:jc w:val="both"/>
              <w:rPr>
                <w:rFonts w:hint="eastAsia"/>
                <w:color w:val="auto"/>
                <w:sz w:val="21"/>
                <w:szCs w:val="21"/>
                <w:vertAlign w:val="baseline"/>
                <w:lang w:val="en-US" w:eastAsia="zh-CN"/>
              </w:rPr>
            </w:pPr>
            <w:r>
              <w:rPr>
                <w:rFonts w:hint="eastAsia" w:ascii="Times New Roman" w:hAnsi="Times New Roman" w:cs="Times New Roman"/>
                <w:b w:val="0"/>
                <w:bCs w:val="0"/>
                <w:color w:val="auto"/>
                <w:sz w:val="21"/>
                <w:szCs w:val="21"/>
                <w:lang w:val="en-US" w:eastAsia="zh-CN"/>
              </w:rPr>
              <w:t>优化生产工艺和环境保护设施的设计和施工，确保符合《安徽省铜铅锌矿采选行业准入条件》（皖经信办</w:t>
            </w:r>
            <w:r>
              <w:rPr>
                <w:rFonts w:hint="eastAsia"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2009</w:t>
            </w:r>
            <w:r>
              <w:rPr>
                <w:rFonts w:hint="eastAsia"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87号）要求。若项目的规模、地点、采用的生产工艺或者防治污染措施、防止生态破坏措施发生重大变动，你公司应严格遵照国家相关法律法规的规定，及时向我厅报告，待正式批准后方可开工建设。</w:t>
            </w:r>
          </w:p>
        </w:tc>
        <w:tc>
          <w:tcPr>
            <w:tcW w:w="3806"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eastAsia" w:ascii="Times New Roman" w:hAnsi="Times New Roman" w:eastAsia="宋体" w:cs="Times New Roman"/>
                <w:color w:val="auto"/>
                <w:sz w:val="21"/>
                <w:szCs w:val="21"/>
                <w:shd w:val="clear" w:color="auto" w:fill="auto"/>
                <w:lang w:val="en-US" w:eastAsia="zh-CN"/>
              </w:rPr>
            </w:pPr>
            <w:r>
              <w:rPr>
                <w:rFonts w:hint="eastAsia"/>
                <w:sz w:val="21"/>
                <w:szCs w:val="21"/>
                <w:lang w:eastAsia="zh-CN"/>
              </w:rPr>
              <w:t>项目建设符合</w:t>
            </w:r>
            <w:r>
              <w:rPr>
                <w:rFonts w:hint="eastAsia" w:ascii="Times New Roman" w:hAnsi="Times New Roman" w:cs="Times New Roman"/>
                <w:b w:val="0"/>
                <w:bCs w:val="0"/>
                <w:color w:val="auto"/>
                <w:sz w:val="21"/>
                <w:szCs w:val="21"/>
                <w:lang w:val="en-US" w:eastAsia="zh-CN"/>
              </w:rPr>
              <w:t>《安徽省铜铅锌矿采选行业准入条件》（皖经信办</w:t>
            </w:r>
            <w:r>
              <w:rPr>
                <w:rFonts w:hint="eastAsia"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2009</w:t>
            </w:r>
            <w:r>
              <w:rPr>
                <w:rFonts w:hint="eastAsia"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87号）要求</w:t>
            </w:r>
            <w:r>
              <w:rPr>
                <w:rFonts w:hint="eastAsia" w:cs="Times New Roman"/>
                <w:b w:val="0"/>
                <w:bCs w:val="0"/>
                <w:color w:val="auto"/>
                <w:sz w:val="21"/>
                <w:szCs w:val="21"/>
                <w:lang w:val="en-US" w:eastAsia="zh-CN"/>
              </w:rPr>
              <w:t>。项目无重大变动，建设方承诺若需要变动，则及时向安徽省环境保护厅报告，等待批准后再开工建设。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2" w:hRule="atLeast"/>
          <w:jc w:val="center"/>
        </w:trPr>
        <w:tc>
          <w:tcPr>
            <w:tcW w:w="5389" w:type="dxa"/>
            <w:tcBorders>
              <w:left w:val="nil"/>
              <w:bottom w:val="double" w:color="auto" w:sz="4" w:space="0"/>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both"/>
              <w:textAlignment w:val="auto"/>
              <w:outlineLvl w:val="9"/>
              <w:rPr>
                <w:rFonts w:hint="eastAsia"/>
                <w:color w:val="auto"/>
                <w:sz w:val="21"/>
                <w:szCs w:val="21"/>
                <w:vertAlign w:val="baseline"/>
                <w:lang w:val="en-US" w:eastAsia="zh-CN"/>
              </w:rPr>
            </w:pPr>
            <w:r>
              <w:rPr>
                <w:rFonts w:hint="eastAsia" w:ascii="Times New Roman" w:hAnsi="Times New Roman" w:cs="Times New Roman"/>
                <w:b w:val="0"/>
                <w:bCs w:val="0"/>
                <w:color w:val="auto"/>
                <w:sz w:val="21"/>
                <w:szCs w:val="21"/>
                <w:lang w:val="en-US" w:eastAsia="zh-CN"/>
              </w:rPr>
              <w:t>项目建设应严格执行环境保护设施与主体工程同时设计、同时施工、同时投入使用的环境保护“三同时”制度。项目试生产须经我厅批准同意。项目建成投入试生产3个月内，向我厅申请该项目竣工环境保护验收；验收合格后，项目方可正式投入生产，违反本规定要求的，承担相应环保法律责任。</w:t>
            </w:r>
          </w:p>
        </w:tc>
        <w:tc>
          <w:tcPr>
            <w:tcW w:w="3806" w:type="dxa"/>
            <w:tcBorders>
              <w:bottom w:val="double" w:color="auto" w:sz="4" w:space="0"/>
              <w:righ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eastAsia" w:ascii="Times New Roman" w:hAnsi="Times New Roman" w:eastAsia="宋体" w:cs="Times New Roman"/>
                <w:color w:val="auto"/>
                <w:sz w:val="21"/>
                <w:szCs w:val="21"/>
                <w:shd w:val="clear" w:color="auto" w:fill="auto"/>
                <w:lang w:val="en-US" w:eastAsia="zh-CN"/>
              </w:rPr>
            </w:pPr>
            <w:r>
              <w:rPr>
                <w:rFonts w:hint="eastAsia" w:ascii="Times New Roman" w:hAnsi="Times New Roman" w:cs="Times New Roman"/>
                <w:b w:val="0"/>
                <w:bCs w:val="0"/>
                <w:color w:val="auto"/>
                <w:sz w:val="21"/>
                <w:szCs w:val="21"/>
                <w:lang w:val="en-US" w:eastAsia="zh-CN"/>
              </w:rPr>
              <w:t>项目建设严格执行环境保护设施与主体工程同时设计、同时施工、同时投入使用的环境保护“三同时”制度。</w:t>
            </w:r>
          </w:p>
        </w:tc>
      </w:tr>
    </w:tbl>
    <w:p>
      <w:pPr>
        <w:pStyle w:val="4"/>
        <w:rPr>
          <w:rFonts w:hint="eastAsia"/>
          <w:lang w:val="en-US" w:eastAsia="zh-CN"/>
        </w:rPr>
      </w:pPr>
      <w:bookmarkStart w:id="243" w:name="_Toc15535"/>
      <w:bookmarkStart w:id="244" w:name="_Toc464657313"/>
      <w:bookmarkStart w:id="245" w:name="_Toc483653498"/>
      <w:bookmarkStart w:id="246" w:name="_Toc10286"/>
      <w:bookmarkStart w:id="247" w:name="_Toc29915"/>
      <w:r>
        <w:rPr>
          <w:rFonts w:hint="eastAsia"/>
          <w:lang w:val="en-US" w:eastAsia="zh-CN"/>
        </w:rPr>
        <w:t>4.3 环保投资</w:t>
      </w:r>
      <w:bookmarkEnd w:id="243"/>
    </w:p>
    <w:p>
      <w:pPr>
        <w:ind w:firstLine="480" w:firstLineChars="200"/>
        <w:rPr>
          <w:rFonts w:hint="eastAsia"/>
          <w:lang w:val="en-US" w:eastAsia="zh-CN"/>
        </w:rPr>
      </w:pPr>
      <w:r>
        <w:rPr>
          <w:rFonts w:hint="eastAsia"/>
          <w:lang w:val="en-US" w:eastAsia="zh-CN"/>
        </w:rPr>
        <w:t>项目具体环保投资情况见表4.3-1。</w:t>
      </w:r>
    </w:p>
    <w:p>
      <w:pPr>
        <w:pStyle w:val="2"/>
        <w:jc w:val="center"/>
        <w:rPr>
          <w:rFonts w:hint="eastAsia"/>
          <w:b/>
          <w:bCs/>
          <w:sz w:val="21"/>
          <w:szCs w:val="21"/>
          <w:lang w:val="en-US" w:eastAsia="zh-CN"/>
        </w:rPr>
      </w:pPr>
      <w:r>
        <w:rPr>
          <w:rFonts w:hint="eastAsia"/>
          <w:b/>
          <w:bCs/>
          <w:sz w:val="21"/>
          <w:szCs w:val="21"/>
          <w:lang w:val="en-US" w:eastAsia="zh-CN"/>
        </w:rPr>
        <w:t>表4.3-1 环保投资一览表</w:t>
      </w:r>
    </w:p>
    <w:tbl>
      <w:tblPr>
        <w:tblStyle w:val="16"/>
        <w:tblW w:w="9196" w:type="dxa"/>
        <w:jc w:val="center"/>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60"/>
        <w:gridCol w:w="3705"/>
        <w:gridCol w:w="1765"/>
        <w:gridCol w:w="176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65" w:type="dxa"/>
            <w:gridSpan w:val="2"/>
            <w:tcBorders>
              <w:tl2br w:val="nil"/>
              <w:tr2bl w:val="nil"/>
            </w:tcBorders>
            <w:vAlign w:val="center"/>
          </w:tcPr>
          <w:p>
            <w:pPr>
              <w:pStyle w:val="2"/>
              <w:spacing w:line="240" w:lineRule="auto"/>
              <w:jc w:val="center"/>
              <w:rPr>
                <w:rFonts w:hint="eastAsia"/>
                <w:b/>
                <w:bCs/>
                <w:sz w:val="21"/>
                <w:szCs w:val="21"/>
                <w:vertAlign w:val="baseline"/>
                <w:lang w:val="en-US" w:eastAsia="zh-CN"/>
              </w:rPr>
            </w:pPr>
            <w:bookmarkStart w:id="248" w:name="_Toc27199"/>
            <w:r>
              <w:rPr>
                <w:rFonts w:hint="eastAsia"/>
                <w:b/>
                <w:bCs/>
                <w:sz w:val="21"/>
                <w:szCs w:val="21"/>
                <w:vertAlign w:val="baseline"/>
                <w:lang w:val="en-US" w:eastAsia="zh-CN"/>
              </w:rPr>
              <w:t>环保措施</w:t>
            </w:r>
          </w:p>
        </w:tc>
        <w:tc>
          <w:tcPr>
            <w:tcW w:w="1765" w:type="dxa"/>
            <w:tcBorders>
              <w:tl2br w:val="nil"/>
              <w:tr2bl w:val="nil"/>
            </w:tcBorders>
            <w:vAlign w:val="center"/>
          </w:tcPr>
          <w:p>
            <w:pPr>
              <w:pStyle w:val="2"/>
              <w:spacing w:line="240" w:lineRule="auto"/>
              <w:jc w:val="center"/>
              <w:rPr>
                <w:rFonts w:hint="eastAsia"/>
                <w:b/>
                <w:bCs/>
                <w:sz w:val="21"/>
                <w:szCs w:val="21"/>
                <w:vertAlign w:val="baseline"/>
                <w:lang w:val="en-US" w:eastAsia="zh-CN"/>
              </w:rPr>
            </w:pPr>
            <w:r>
              <w:rPr>
                <w:rFonts w:hint="eastAsia"/>
                <w:b/>
                <w:bCs/>
                <w:sz w:val="21"/>
                <w:szCs w:val="21"/>
                <w:vertAlign w:val="baseline"/>
                <w:lang w:val="en-US" w:eastAsia="zh-CN"/>
              </w:rPr>
              <w:t>计划投资（万元）</w:t>
            </w:r>
          </w:p>
        </w:tc>
        <w:tc>
          <w:tcPr>
            <w:tcW w:w="1766" w:type="dxa"/>
            <w:tcBorders>
              <w:tl2br w:val="nil"/>
              <w:tr2bl w:val="nil"/>
            </w:tcBorders>
            <w:vAlign w:val="center"/>
          </w:tcPr>
          <w:p>
            <w:pPr>
              <w:pStyle w:val="2"/>
              <w:spacing w:line="240" w:lineRule="auto"/>
              <w:jc w:val="center"/>
              <w:rPr>
                <w:rFonts w:hint="eastAsia"/>
                <w:b/>
                <w:bCs/>
                <w:sz w:val="21"/>
                <w:szCs w:val="21"/>
                <w:vertAlign w:val="baseline"/>
                <w:lang w:val="en-US" w:eastAsia="zh-CN"/>
              </w:rPr>
            </w:pPr>
            <w:r>
              <w:rPr>
                <w:rFonts w:hint="eastAsia"/>
                <w:b/>
                <w:bCs/>
                <w:sz w:val="21"/>
                <w:szCs w:val="21"/>
                <w:vertAlign w:val="baseline"/>
                <w:lang w:val="en-US" w:eastAsia="zh-CN"/>
              </w:rPr>
              <w:t>实际投资（万元）</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60" w:type="dxa"/>
            <w:tcBorders>
              <w:tl2br w:val="nil"/>
              <w:tr2bl w:val="nil"/>
            </w:tcBorders>
            <w:vAlign w:val="center"/>
          </w:tcPr>
          <w:p>
            <w:pPr>
              <w:pStyle w:val="2"/>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大气污染防治工程</w:t>
            </w:r>
          </w:p>
        </w:tc>
        <w:tc>
          <w:tcPr>
            <w:tcW w:w="3705"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湿式凿岩、喷淋头、下料仓顶棚等</w:t>
            </w:r>
          </w:p>
        </w:tc>
        <w:tc>
          <w:tcPr>
            <w:tcW w:w="1765" w:type="dxa"/>
            <w:tcBorders>
              <w:tl2br w:val="nil"/>
              <w:tr2bl w:val="nil"/>
            </w:tcBorders>
            <w:vAlign w:val="center"/>
          </w:tcPr>
          <w:p>
            <w:pPr>
              <w:pStyle w:val="2"/>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4</w:t>
            </w:r>
          </w:p>
        </w:tc>
        <w:tc>
          <w:tcPr>
            <w:tcW w:w="1766"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19.4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60" w:type="dxa"/>
            <w:tcBorders>
              <w:tl2br w:val="nil"/>
              <w:tr2bl w:val="nil"/>
            </w:tcBorders>
            <w:vAlign w:val="center"/>
          </w:tcPr>
          <w:p>
            <w:pPr>
              <w:pStyle w:val="2"/>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水污染防治工程</w:t>
            </w:r>
          </w:p>
        </w:tc>
        <w:tc>
          <w:tcPr>
            <w:tcW w:w="3705"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沉淀池、收集沟、提升泵等</w:t>
            </w:r>
          </w:p>
        </w:tc>
        <w:tc>
          <w:tcPr>
            <w:tcW w:w="1765" w:type="dxa"/>
            <w:tcBorders>
              <w:tl2br w:val="nil"/>
              <w:tr2bl w:val="nil"/>
            </w:tcBorders>
            <w:vAlign w:val="center"/>
          </w:tcPr>
          <w:p>
            <w:pPr>
              <w:pStyle w:val="2"/>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14</w:t>
            </w:r>
          </w:p>
        </w:tc>
        <w:tc>
          <w:tcPr>
            <w:tcW w:w="1766"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20.8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60" w:type="dxa"/>
            <w:tcBorders>
              <w:tl2br w:val="nil"/>
              <w:tr2bl w:val="nil"/>
            </w:tcBorders>
            <w:vAlign w:val="center"/>
          </w:tcPr>
          <w:p>
            <w:pPr>
              <w:pStyle w:val="2"/>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噪声污染防治工程</w:t>
            </w:r>
          </w:p>
        </w:tc>
        <w:tc>
          <w:tcPr>
            <w:tcW w:w="3705"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基础减振、隔声墙等</w:t>
            </w:r>
          </w:p>
        </w:tc>
        <w:tc>
          <w:tcPr>
            <w:tcW w:w="1765" w:type="dxa"/>
            <w:tcBorders>
              <w:tl2br w:val="nil"/>
              <w:tr2bl w:val="nil"/>
            </w:tcBorders>
            <w:vAlign w:val="center"/>
          </w:tcPr>
          <w:p>
            <w:pPr>
              <w:pStyle w:val="2"/>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5</w:t>
            </w:r>
          </w:p>
        </w:tc>
        <w:tc>
          <w:tcPr>
            <w:tcW w:w="1766"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60" w:type="dxa"/>
            <w:tcBorders>
              <w:tl2br w:val="nil"/>
              <w:tr2bl w:val="nil"/>
            </w:tcBorders>
            <w:vAlign w:val="center"/>
          </w:tcPr>
          <w:p>
            <w:pPr>
              <w:pStyle w:val="2"/>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固废污染防治工程</w:t>
            </w:r>
          </w:p>
        </w:tc>
        <w:tc>
          <w:tcPr>
            <w:tcW w:w="3705"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生活垃圾处置、挡渣墙</w:t>
            </w:r>
          </w:p>
        </w:tc>
        <w:tc>
          <w:tcPr>
            <w:tcW w:w="1765" w:type="dxa"/>
            <w:tcBorders>
              <w:tl2br w:val="nil"/>
              <w:tr2bl w:val="nil"/>
            </w:tcBorders>
            <w:vAlign w:val="center"/>
          </w:tcPr>
          <w:p>
            <w:pPr>
              <w:pStyle w:val="2"/>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40</w:t>
            </w:r>
          </w:p>
        </w:tc>
        <w:tc>
          <w:tcPr>
            <w:tcW w:w="1766"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60"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绿化</w:t>
            </w:r>
          </w:p>
        </w:tc>
        <w:tc>
          <w:tcPr>
            <w:tcW w:w="3705"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覆土、植树、种草</w:t>
            </w:r>
          </w:p>
        </w:tc>
        <w:tc>
          <w:tcPr>
            <w:tcW w:w="1765" w:type="dxa"/>
            <w:tcBorders>
              <w:tl2br w:val="nil"/>
              <w:tr2bl w:val="nil"/>
            </w:tcBorders>
            <w:vAlign w:val="center"/>
          </w:tcPr>
          <w:p>
            <w:pPr>
              <w:pStyle w:val="2"/>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5</w:t>
            </w:r>
          </w:p>
        </w:tc>
        <w:tc>
          <w:tcPr>
            <w:tcW w:w="1766"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9.4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60"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其他</w:t>
            </w:r>
          </w:p>
        </w:tc>
        <w:tc>
          <w:tcPr>
            <w:tcW w:w="3705"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道路硬化、水土保持等</w:t>
            </w:r>
          </w:p>
        </w:tc>
        <w:tc>
          <w:tcPr>
            <w:tcW w:w="1765" w:type="dxa"/>
            <w:tcBorders>
              <w:tl2br w:val="nil"/>
              <w:tr2bl w:val="nil"/>
            </w:tcBorders>
            <w:vAlign w:val="center"/>
          </w:tcPr>
          <w:p>
            <w:pPr>
              <w:pStyle w:val="2"/>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62.84</w:t>
            </w:r>
          </w:p>
        </w:tc>
        <w:tc>
          <w:tcPr>
            <w:tcW w:w="1766" w:type="dxa"/>
            <w:tcBorders>
              <w:tl2br w:val="nil"/>
              <w:tr2bl w:val="nil"/>
            </w:tcBorders>
            <w:vAlign w:val="center"/>
          </w:tcPr>
          <w:p>
            <w:pPr>
              <w:pStyle w:val="2"/>
              <w:spacing w:line="240" w:lineRule="auto"/>
              <w:ind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67.24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65" w:type="dxa"/>
            <w:gridSpan w:val="2"/>
            <w:tcBorders>
              <w:tl2br w:val="nil"/>
              <w:tr2bl w:val="nil"/>
            </w:tcBorders>
            <w:vAlign w:val="center"/>
          </w:tcPr>
          <w:p>
            <w:pPr>
              <w:pStyle w:val="2"/>
              <w:spacing w:line="240" w:lineRule="auto"/>
              <w:jc w:val="center"/>
              <w:rPr>
                <w:rFonts w:hint="eastAsia"/>
                <w:b/>
                <w:bCs/>
                <w:sz w:val="21"/>
                <w:szCs w:val="21"/>
                <w:vertAlign w:val="baseline"/>
                <w:lang w:val="en-US" w:eastAsia="zh-CN"/>
              </w:rPr>
            </w:pPr>
            <w:r>
              <w:rPr>
                <w:rFonts w:hint="eastAsia"/>
                <w:b/>
                <w:bCs/>
                <w:sz w:val="21"/>
                <w:szCs w:val="21"/>
                <w:vertAlign w:val="baseline"/>
                <w:lang w:val="en-US" w:eastAsia="zh-CN"/>
              </w:rPr>
              <w:t>合计</w:t>
            </w:r>
          </w:p>
        </w:tc>
        <w:tc>
          <w:tcPr>
            <w:tcW w:w="1765" w:type="dxa"/>
            <w:tcBorders>
              <w:tl2br w:val="nil"/>
              <w:tr2bl w:val="nil"/>
            </w:tcBorders>
            <w:vAlign w:val="center"/>
          </w:tcPr>
          <w:p>
            <w:pPr>
              <w:pStyle w:val="2"/>
              <w:spacing w:line="240" w:lineRule="auto"/>
              <w:jc w:val="center"/>
              <w:rPr>
                <w:rFonts w:hint="eastAsia"/>
                <w:b/>
                <w:bCs/>
                <w:sz w:val="21"/>
                <w:szCs w:val="21"/>
                <w:vertAlign w:val="baseline"/>
                <w:lang w:val="en-US" w:eastAsia="zh-CN"/>
              </w:rPr>
            </w:pPr>
            <w:r>
              <w:rPr>
                <w:rFonts w:hint="eastAsia"/>
                <w:b/>
                <w:bCs/>
                <w:sz w:val="21"/>
                <w:szCs w:val="21"/>
                <w:vertAlign w:val="baseline"/>
                <w:lang w:val="en-US" w:eastAsia="zh-CN"/>
              </w:rPr>
              <w:t>130.84</w:t>
            </w:r>
          </w:p>
        </w:tc>
        <w:tc>
          <w:tcPr>
            <w:tcW w:w="1766" w:type="dxa"/>
            <w:tcBorders>
              <w:tl2br w:val="nil"/>
              <w:tr2bl w:val="nil"/>
            </w:tcBorders>
            <w:vAlign w:val="center"/>
          </w:tcPr>
          <w:p>
            <w:pPr>
              <w:pStyle w:val="2"/>
              <w:spacing w:line="240" w:lineRule="auto"/>
              <w:ind w:firstLine="0" w:firstLineChars="0"/>
              <w:jc w:val="center"/>
              <w:rPr>
                <w:rFonts w:hint="eastAsia"/>
                <w:b/>
                <w:bCs/>
                <w:sz w:val="21"/>
                <w:szCs w:val="21"/>
                <w:vertAlign w:val="baseline"/>
                <w:lang w:val="en-US" w:eastAsia="zh-CN"/>
              </w:rPr>
            </w:pPr>
            <w:r>
              <w:rPr>
                <w:rFonts w:hint="eastAsia"/>
                <w:b/>
                <w:bCs/>
                <w:sz w:val="21"/>
                <w:szCs w:val="21"/>
                <w:vertAlign w:val="baseline"/>
                <w:lang w:val="en-US" w:eastAsia="zh-CN"/>
              </w:rPr>
              <w:t>130.84</w:t>
            </w:r>
          </w:p>
        </w:tc>
      </w:tr>
    </w:tbl>
    <w:p>
      <w:pPr>
        <w:pStyle w:val="4"/>
        <w:rPr>
          <w:rFonts w:hint="eastAsia" w:eastAsia="宋体"/>
          <w:lang w:eastAsia="zh-CN"/>
        </w:rPr>
      </w:pPr>
      <w:r>
        <w:rPr>
          <w:rFonts w:hint="eastAsia"/>
          <w:lang w:val="en-US" w:eastAsia="zh-CN"/>
        </w:rPr>
        <w:t xml:space="preserve">4.4 </w:t>
      </w:r>
      <w:bookmarkEnd w:id="244"/>
      <w:bookmarkEnd w:id="245"/>
      <w:bookmarkEnd w:id="246"/>
      <w:bookmarkEnd w:id="247"/>
      <w:r>
        <w:rPr>
          <w:rFonts w:hint="eastAsia"/>
          <w:lang w:eastAsia="zh-CN"/>
        </w:rPr>
        <w:t>调查结论</w:t>
      </w:r>
      <w:bookmarkEnd w:id="248"/>
    </w:p>
    <w:p>
      <w:pPr>
        <w:ind w:firstLine="480" w:firstLineChars="200"/>
        <w:jc w:val="both"/>
        <w:rPr>
          <w:rFonts w:hint="eastAsia"/>
          <w:szCs w:val="24"/>
          <w:lang w:eastAsia="zh-CN"/>
        </w:rPr>
      </w:pPr>
      <w:r>
        <w:rPr>
          <w:szCs w:val="24"/>
        </w:rPr>
        <w:t>项目可根据实际情况进一步加强</w:t>
      </w:r>
      <w:r>
        <w:rPr>
          <w:rFonts w:hint="eastAsia"/>
          <w:szCs w:val="24"/>
        </w:rPr>
        <w:t>项目周边</w:t>
      </w:r>
      <w:r>
        <w:rPr>
          <w:szCs w:val="24"/>
        </w:rPr>
        <w:t>绿化。总体来说，</w:t>
      </w:r>
      <w:r>
        <w:rPr>
          <w:rFonts w:hint="eastAsia"/>
          <w:lang w:eastAsia="zh-CN"/>
        </w:rPr>
        <w:t>池州市姚街新冲铅锌矿有限公司</w:t>
      </w:r>
      <w:r>
        <w:rPr>
          <w:rFonts w:hint="default" w:ascii="Times New Roman" w:hAnsi="Times New Roman" w:cs="Times New Roman"/>
          <w:b w:val="0"/>
          <w:bCs/>
          <w:color w:val="auto"/>
          <w:sz w:val="24"/>
          <w:szCs w:val="24"/>
          <w:u w:val="none"/>
        </w:rPr>
        <w:t>年产2万吨铅锌矿石原矿采矿技改整合扩建工程项目</w:t>
      </w:r>
      <w:r>
        <w:rPr>
          <w:szCs w:val="24"/>
        </w:rPr>
        <w:t>能够较好的执行环境保护</w:t>
      </w:r>
      <w:r>
        <w:rPr>
          <w:rFonts w:hint="eastAsia" w:ascii="宋体" w:hAnsi="宋体" w:eastAsia="宋体" w:cs="宋体"/>
          <w:szCs w:val="24"/>
        </w:rPr>
        <w:t>“三同时”制</w:t>
      </w:r>
      <w:r>
        <w:rPr>
          <w:szCs w:val="24"/>
        </w:rPr>
        <w:t>度，按照环评及批复要求做好环境保护工作，</w:t>
      </w:r>
      <w:r>
        <w:rPr>
          <w:rFonts w:hint="eastAsia"/>
          <w:szCs w:val="24"/>
          <w:lang w:eastAsia="zh-CN"/>
        </w:rPr>
        <w:t>减少了部分产物工艺与设施，</w:t>
      </w:r>
      <w:r>
        <w:rPr>
          <w:szCs w:val="24"/>
        </w:rPr>
        <w:t>建设单位计划近期按照环保主管部门要求落实。项目能够基本落实环评和批复提出的各项污染治理和保护生态的措施</w:t>
      </w:r>
      <w:r>
        <w:rPr>
          <w:rFonts w:hint="eastAsia"/>
          <w:szCs w:val="24"/>
          <w:lang w:eastAsia="zh-CN"/>
        </w:rPr>
        <w:t>。</w:t>
      </w:r>
    </w:p>
    <w:p>
      <w:pPr>
        <w:pStyle w:val="18"/>
        <w:rPr>
          <w:rFonts w:hint="eastAsia"/>
          <w:szCs w:val="24"/>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3"/>
        <w:jc w:val="center"/>
      </w:pPr>
      <w:bookmarkStart w:id="249" w:name="_Toc19371"/>
      <w:r>
        <w:rPr>
          <w:rFonts w:hint="eastAsia"/>
          <w:lang w:val="en-US" w:eastAsia="zh-CN"/>
        </w:rPr>
        <w:t xml:space="preserve">5 </w:t>
      </w:r>
      <w:r>
        <w:t>施工期环境影响调查分析</w:t>
      </w:r>
      <w:bookmarkEnd w:id="249"/>
    </w:p>
    <w:p>
      <w:pPr>
        <w:autoSpaceDE w:val="0"/>
        <w:autoSpaceDN w:val="0"/>
        <w:adjustRightInd w:val="0"/>
        <w:spacing w:line="360" w:lineRule="auto"/>
        <w:ind w:firstLine="480"/>
        <w:rPr>
          <w:rFonts w:ascii="宋体" w:cs="宋体"/>
          <w:color w:val="auto"/>
          <w:kern w:val="0"/>
        </w:rPr>
      </w:pPr>
      <w:bookmarkStart w:id="250" w:name="_Toc464657316"/>
      <w:bookmarkStart w:id="251" w:name="_Toc450651916"/>
      <w:bookmarkStart w:id="252" w:name="_Toc346"/>
      <w:bookmarkStart w:id="253" w:name="_Toc20498"/>
      <w:r>
        <w:rPr>
          <w:rFonts w:hint="eastAsia" w:ascii="宋体" w:cs="宋体"/>
          <w:color w:val="auto"/>
          <w:kern w:val="0"/>
        </w:rPr>
        <w:t>项目施工</w:t>
      </w:r>
      <w:r>
        <w:rPr>
          <w:rFonts w:hint="default" w:ascii="Times New Roman" w:hAnsi="Times New Roman" w:cs="Times New Roman"/>
          <w:color w:val="auto"/>
          <w:kern w:val="0"/>
        </w:rPr>
        <w:t>期</w:t>
      </w:r>
      <w:r>
        <w:rPr>
          <w:rFonts w:hint="default" w:ascii="Times New Roman" w:hAnsi="Times New Roman" w:cs="Times New Roman"/>
          <w:color w:val="auto"/>
          <w:kern w:val="0"/>
          <w:lang w:val="en-US" w:eastAsia="zh-CN"/>
        </w:rPr>
        <w:t>从2011年9月5日开始，2013年1月21日完工</w:t>
      </w:r>
      <w:r>
        <w:rPr>
          <w:rFonts w:hint="eastAsia" w:ascii="宋体" w:cs="宋体"/>
          <w:color w:val="auto"/>
          <w:kern w:val="0"/>
          <w:lang w:val="en-US" w:eastAsia="zh-CN"/>
        </w:rPr>
        <w:t>，</w:t>
      </w:r>
      <w:r>
        <w:rPr>
          <w:rFonts w:hint="eastAsia" w:ascii="宋体" w:cs="宋体"/>
          <w:color w:val="auto"/>
          <w:kern w:val="0"/>
        </w:rPr>
        <w:t>环境影响主要体现在施工期大气扬尘影响、施工期交通噪声影响及施工期植被破坏和生活垃圾影响。根据企业提供的施工期基础材料以及</w:t>
      </w:r>
      <w:r>
        <w:rPr>
          <w:rFonts w:hint="eastAsia" w:ascii="宋体" w:cs="宋体"/>
          <w:color w:val="auto"/>
          <w:kern w:val="0"/>
          <w:lang w:eastAsia="zh-CN"/>
        </w:rPr>
        <w:t>我公司对施工单位、建设单位和附近居民的调查得出</w:t>
      </w:r>
      <w:r>
        <w:rPr>
          <w:rFonts w:hint="eastAsia" w:ascii="宋体" w:cs="宋体"/>
          <w:color w:val="auto"/>
          <w:kern w:val="0"/>
        </w:rPr>
        <w:t>，该项目施工期生态影响及保护措施概述如下：</w:t>
      </w:r>
    </w:p>
    <w:p>
      <w:pPr>
        <w:pStyle w:val="4"/>
      </w:pPr>
      <w:bookmarkStart w:id="254" w:name="_Toc483653500"/>
      <w:bookmarkStart w:id="255" w:name="_Toc8767"/>
      <w:r>
        <w:rPr>
          <w:rFonts w:hint="eastAsia"/>
          <w:lang w:val="en-US" w:eastAsia="zh-CN"/>
        </w:rPr>
        <w:t>5</w:t>
      </w:r>
      <w:r>
        <w:t xml:space="preserve">.1 </w:t>
      </w:r>
      <w:r>
        <w:rPr>
          <w:rFonts w:hint="eastAsia"/>
        </w:rPr>
        <w:t>施工期水环境影响</w:t>
      </w:r>
      <w:bookmarkEnd w:id="254"/>
      <w:bookmarkEnd w:id="255"/>
    </w:p>
    <w:p>
      <w:pPr>
        <w:spacing w:line="360" w:lineRule="auto"/>
        <w:ind w:firstLine="480"/>
        <w:rPr>
          <w:rFonts w:hint="eastAsia"/>
          <w:szCs w:val="24"/>
          <w:lang w:eastAsia="zh-CN"/>
        </w:rPr>
      </w:pPr>
      <w:r>
        <w:rPr>
          <w:rFonts w:hint="eastAsia"/>
          <w:szCs w:val="24"/>
        </w:rPr>
        <w:t>本项目施工过程中</w:t>
      </w:r>
      <w:r>
        <w:rPr>
          <w:rFonts w:hint="eastAsia"/>
          <w:szCs w:val="24"/>
          <w:lang w:eastAsia="zh-CN"/>
        </w:rPr>
        <w:t>水污染源主要为采矿区井下巷道掘进的井下涌水，基本为基岩渗水，主要污染物为悬浮物等。</w:t>
      </w:r>
    </w:p>
    <w:p>
      <w:pPr>
        <w:spacing w:line="360" w:lineRule="auto"/>
        <w:ind w:firstLine="480"/>
        <w:rPr>
          <w:szCs w:val="24"/>
        </w:rPr>
      </w:pPr>
      <w:r>
        <w:rPr>
          <w:rFonts w:hint="eastAsia"/>
          <w:szCs w:val="24"/>
          <w:lang w:eastAsia="zh-CN"/>
        </w:rPr>
        <w:t>施工期产生的废水量不大，全部汇集到施工现场的一座临时沉淀池，经沉淀池收集沉淀后使用，</w:t>
      </w:r>
      <w:r>
        <w:rPr>
          <w:rFonts w:hint="eastAsia"/>
          <w:szCs w:val="24"/>
        </w:rPr>
        <w:t>不外排。本项目施工过程中管理到位，污染防治措施得以落实，未对周围受纳水体产生不利影响。</w:t>
      </w:r>
    </w:p>
    <w:p>
      <w:pPr>
        <w:pStyle w:val="4"/>
      </w:pPr>
      <w:bookmarkStart w:id="256" w:name="_Toc483653501"/>
      <w:bookmarkStart w:id="257" w:name="_Toc16997"/>
      <w:r>
        <w:rPr>
          <w:rFonts w:hint="eastAsia"/>
          <w:lang w:val="en-US" w:eastAsia="zh-CN"/>
        </w:rPr>
        <w:t>5</w:t>
      </w:r>
      <w:r>
        <w:t xml:space="preserve">.2 </w:t>
      </w:r>
      <w:r>
        <w:rPr>
          <w:rFonts w:hint="eastAsia"/>
        </w:rPr>
        <w:t>施工期大气环境影响</w:t>
      </w:r>
      <w:bookmarkEnd w:id="256"/>
      <w:bookmarkEnd w:id="257"/>
    </w:p>
    <w:p>
      <w:pPr>
        <w:spacing w:line="360" w:lineRule="auto"/>
        <w:ind w:firstLine="480"/>
        <w:rPr>
          <w:snapToGrid w:val="0"/>
          <w:color w:val="000000"/>
          <w:sz w:val="24"/>
        </w:rPr>
      </w:pPr>
      <w:r>
        <w:rPr>
          <w:snapToGrid w:val="0"/>
          <w:color w:val="000000"/>
          <w:sz w:val="24"/>
        </w:rPr>
        <w:t>施工活动中，对环境空气的影响因素主要为施工机械和运输车辆所排放的</w:t>
      </w:r>
      <w:r>
        <w:rPr>
          <w:rFonts w:hint="eastAsia"/>
          <w:snapToGrid w:val="0"/>
          <w:color w:val="000000"/>
          <w:sz w:val="24"/>
        </w:rPr>
        <w:t>尾</w:t>
      </w:r>
      <w:r>
        <w:rPr>
          <w:snapToGrid w:val="0"/>
          <w:color w:val="000000"/>
          <w:sz w:val="24"/>
        </w:rPr>
        <w:t>气</w:t>
      </w:r>
      <w:r>
        <w:rPr>
          <w:rFonts w:hint="eastAsia"/>
          <w:snapToGrid w:val="0"/>
          <w:color w:val="000000"/>
          <w:sz w:val="24"/>
        </w:rPr>
        <w:t>，</w:t>
      </w:r>
      <w:r>
        <w:rPr>
          <w:snapToGrid w:val="0"/>
          <w:color w:val="000000"/>
          <w:sz w:val="24"/>
        </w:rPr>
        <w:t>建筑材料运输、卸载中的扬尘等。</w:t>
      </w:r>
    </w:p>
    <w:p>
      <w:pPr>
        <w:spacing w:line="360" w:lineRule="auto"/>
        <w:ind w:firstLine="480"/>
        <w:rPr>
          <w:szCs w:val="24"/>
        </w:rPr>
      </w:pPr>
      <w:r>
        <w:rPr>
          <w:rFonts w:hint="eastAsia"/>
          <w:snapToGrid w:val="0"/>
          <w:color w:val="000000"/>
          <w:sz w:val="24"/>
        </w:rPr>
        <w:t>本项目</w:t>
      </w:r>
      <w:r>
        <w:rPr>
          <w:snapToGrid w:val="0"/>
          <w:color w:val="000000"/>
          <w:sz w:val="24"/>
        </w:rPr>
        <w:t>工程规模较小，采用的施工机械和运输车辆数量也相对较少，排放的尾气量亦将较小，尾气对沿线环境空气的影响将不甚明显。</w:t>
      </w:r>
      <w:r>
        <w:rPr>
          <w:rFonts w:hint="eastAsia"/>
          <w:snapToGrid w:val="0"/>
          <w:color w:val="000000"/>
          <w:sz w:val="24"/>
          <w:lang w:eastAsia="zh-CN"/>
        </w:rPr>
        <w:t>针对</w:t>
      </w:r>
      <w:r>
        <w:rPr>
          <w:snapToGrid w:val="0"/>
          <w:color w:val="000000"/>
          <w:sz w:val="24"/>
        </w:rPr>
        <w:t>道路扬尘，</w:t>
      </w:r>
      <w:r>
        <w:rPr>
          <w:rFonts w:hint="eastAsia"/>
          <w:snapToGrid w:val="0"/>
          <w:color w:val="000000"/>
          <w:sz w:val="24"/>
          <w:lang w:eastAsia="zh-CN"/>
        </w:rPr>
        <w:t>施工过程中</w:t>
      </w:r>
      <w:r>
        <w:rPr>
          <w:snapToGrid w:val="0"/>
          <w:color w:val="000000"/>
          <w:sz w:val="24"/>
        </w:rPr>
        <w:t>定时对道路洒水抑尘。施工运输车辆行驶速度限制在20km/h以下，减少扬尘量，又降低</w:t>
      </w:r>
      <w:r>
        <w:rPr>
          <w:rFonts w:hint="eastAsia"/>
          <w:snapToGrid w:val="0"/>
          <w:color w:val="000000"/>
          <w:sz w:val="24"/>
          <w:lang w:eastAsia="zh-CN"/>
        </w:rPr>
        <w:t>了</w:t>
      </w:r>
      <w:r>
        <w:rPr>
          <w:snapToGrid w:val="0"/>
          <w:color w:val="000000"/>
          <w:sz w:val="24"/>
        </w:rPr>
        <w:t>车辆噪声，同时有利于施工现场安全。卸料时尽量降低高度，对散状物如沙子、石子堆场也采取洒水抑尘措施。</w:t>
      </w:r>
      <w:r>
        <w:rPr>
          <w:rFonts w:hint="eastAsia"/>
          <w:szCs w:val="24"/>
        </w:rPr>
        <w:t>施工过程中无明显扬尘</w:t>
      </w:r>
      <w:r>
        <w:rPr>
          <w:rFonts w:hint="eastAsia"/>
          <w:szCs w:val="24"/>
          <w:lang w:eastAsia="zh-CN"/>
        </w:rPr>
        <w:t>，因此</w:t>
      </w:r>
      <w:r>
        <w:rPr>
          <w:rFonts w:hint="eastAsia"/>
          <w:szCs w:val="24"/>
        </w:rPr>
        <w:t>本项目施工过程中未对周围大气环境造成不利影响。</w:t>
      </w:r>
    </w:p>
    <w:p>
      <w:pPr>
        <w:pStyle w:val="4"/>
      </w:pPr>
      <w:bookmarkStart w:id="258" w:name="_Toc483653502"/>
      <w:bookmarkStart w:id="259" w:name="_Toc30977"/>
      <w:r>
        <w:rPr>
          <w:rFonts w:hint="eastAsia"/>
          <w:lang w:val="en-US" w:eastAsia="zh-CN"/>
        </w:rPr>
        <w:t>5</w:t>
      </w:r>
      <w:r>
        <w:t xml:space="preserve">.3 </w:t>
      </w:r>
      <w:r>
        <w:rPr>
          <w:rFonts w:hint="eastAsia"/>
        </w:rPr>
        <w:t>施工期固体废弃物影响</w:t>
      </w:r>
      <w:bookmarkEnd w:id="258"/>
      <w:bookmarkEnd w:id="259"/>
    </w:p>
    <w:p>
      <w:pPr>
        <w:spacing w:line="360" w:lineRule="auto"/>
        <w:ind w:firstLine="480"/>
        <w:rPr>
          <w:szCs w:val="24"/>
        </w:rPr>
      </w:pPr>
      <w:r>
        <w:rPr>
          <w:rFonts w:hint="eastAsia"/>
          <w:szCs w:val="24"/>
        </w:rPr>
        <w:t>本项目施工过程中无生产废料产生，只有施工人员产生少量生活垃圾，环境监理要求建设单位对产生的生活垃圾进行统一收集，并与选矿厂生活垃圾一同交由当地环卫部门处理。</w:t>
      </w:r>
      <w:r>
        <w:rPr>
          <w:rFonts w:hint="eastAsia"/>
          <w:szCs w:val="24"/>
          <w:lang w:val="en-US" w:eastAsia="zh-CN"/>
        </w:rPr>
        <w:t>项目施工期产生的废石量约为30000吨，全部回填至矿井。</w:t>
      </w:r>
      <w:r>
        <w:rPr>
          <w:rFonts w:hint="eastAsia"/>
          <w:szCs w:val="24"/>
        </w:rPr>
        <w:t>本项目施工过程未对尾矿库周围环境造成不利影响。</w:t>
      </w:r>
    </w:p>
    <w:p>
      <w:pPr>
        <w:pStyle w:val="4"/>
      </w:pPr>
      <w:bookmarkStart w:id="260" w:name="_Toc483653503"/>
      <w:bookmarkStart w:id="261" w:name="_Toc18420"/>
      <w:r>
        <w:rPr>
          <w:rFonts w:hint="eastAsia"/>
          <w:lang w:val="en-US" w:eastAsia="zh-CN"/>
        </w:rPr>
        <w:t>5</w:t>
      </w:r>
      <w:r>
        <w:t xml:space="preserve">.4 </w:t>
      </w:r>
      <w:r>
        <w:rPr>
          <w:rFonts w:hint="eastAsia"/>
        </w:rPr>
        <w:t>施工期声环境影响</w:t>
      </w:r>
      <w:bookmarkEnd w:id="260"/>
      <w:bookmarkEnd w:id="261"/>
    </w:p>
    <w:p>
      <w:pPr>
        <w:spacing w:line="360" w:lineRule="auto"/>
        <w:ind w:firstLine="480"/>
        <w:rPr>
          <w:szCs w:val="24"/>
        </w:rPr>
      </w:pPr>
      <w:r>
        <w:rPr>
          <w:rFonts w:hint="eastAsia"/>
          <w:szCs w:val="24"/>
        </w:rPr>
        <w:t>施工期产生的噪声主要</w:t>
      </w:r>
      <w:r>
        <w:rPr>
          <w:color w:val="000000"/>
          <w:sz w:val="24"/>
        </w:rPr>
        <w:t>施工噪声和交通噪声两类。</w:t>
      </w:r>
      <w:r>
        <w:rPr>
          <w:rFonts w:hint="eastAsia"/>
          <w:szCs w:val="24"/>
        </w:rPr>
        <w:t>本项目运输车辆不出尾矿库且尾矿库附近无居民点，对周围声环境无影响。本项目施工单位严格遵守和执行施工噪声管理的规定，并加强施工期噪声环境管理，合理安排施工作业</w:t>
      </w:r>
    </w:p>
    <w:p>
      <w:pPr>
        <w:spacing w:line="360" w:lineRule="auto"/>
        <w:ind w:firstLine="0" w:firstLineChars="0"/>
        <w:rPr>
          <w:szCs w:val="24"/>
        </w:rPr>
      </w:pPr>
      <w:r>
        <w:rPr>
          <w:rFonts w:hint="eastAsia"/>
          <w:szCs w:val="24"/>
        </w:rPr>
        <w:t>时间，无夜间施工行为。本项施工过程中未发生噪声扰民事件。</w:t>
      </w:r>
    </w:p>
    <w:bookmarkEnd w:id="250"/>
    <w:bookmarkEnd w:id="251"/>
    <w:bookmarkEnd w:id="252"/>
    <w:bookmarkEnd w:id="253"/>
    <w:p>
      <w:pPr>
        <w:pStyle w:val="4"/>
      </w:pPr>
      <w:bookmarkStart w:id="262" w:name="_Toc483653504"/>
      <w:bookmarkStart w:id="263" w:name="_Toc6900"/>
      <w:r>
        <w:rPr>
          <w:rFonts w:hint="eastAsia"/>
          <w:lang w:val="en-US" w:eastAsia="zh-CN"/>
        </w:rPr>
        <w:t>5</w:t>
      </w:r>
      <w:r>
        <w:t>.</w:t>
      </w:r>
      <w:r>
        <w:rPr>
          <w:rFonts w:hint="eastAsia"/>
        </w:rPr>
        <w:t>5</w:t>
      </w:r>
      <w:r>
        <w:rPr>
          <w:rFonts w:hint="eastAsia"/>
          <w:lang w:val="en-US" w:eastAsia="zh-CN"/>
        </w:rPr>
        <w:t xml:space="preserve"> </w:t>
      </w:r>
      <w:r>
        <w:rPr>
          <w:rFonts w:hint="eastAsia"/>
        </w:rPr>
        <w:t>施工期生态环境影响</w:t>
      </w:r>
      <w:bookmarkEnd w:id="262"/>
      <w:bookmarkEnd w:id="263"/>
    </w:p>
    <w:p>
      <w:pPr>
        <w:spacing w:line="360" w:lineRule="auto"/>
        <w:ind w:firstLine="480"/>
        <w:rPr>
          <w:szCs w:val="24"/>
        </w:rPr>
      </w:pPr>
      <w:r>
        <w:rPr>
          <w:rFonts w:hint="eastAsia"/>
          <w:szCs w:val="24"/>
        </w:rPr>
        <w:t>本项目</w:t>
      </w:r>
      <w:r>
        <w:rPr>
          <w:rFonts w:hint="eastAsia"/>
          <w:szCs w:val="24"/>
          <w:lang w:eastAsia="zh-CN"/>
        </w:rPr>
        <w:t>矿井口的地表作业区</w:t>
      </w:r>
      <w:r>
        <w:rPr>
          <w:rFonts w:hint="eastAsia"/>
          <w:szCs w:val="24"/>
        </w:rPr>
        <w:t>和施工便道的建设改变</w:t>
      </w:r>
      <w:r>
        <w:rPr>
          <w:rFonts w:hint="eastAsia"/>
          <w:szCs w:val="24"/>
          <w:lang w:eastAsia="zh-CN"/>
        </w:rPr>
        <w:t>了</w:t>
      </w:r>
      <w:r>
        <w:rPr>
          <w:rFonts w:hint="eastAsia"/>
          <w:szCs w:val="24"/>
        </w:rPr>
        <w:t>工程所在地的地表植被，原有的植被景观不复存在，形成的景观与周围景观不协调。建设单位对</w:t>
      </w:r>
      <w:r>
        <w:rPr>
          <w:rFonts w:hint="eastAsia"/>
          <w:szCs w:val="24"/>
          <w:lang w:eastAsia="zh-CN"/>
        </w:rPr>
        <w:t>地表作业区</w:t>
      </w:r>
      <w:r>
        <w:rPr>
          <w:rFonts w:hint="eastAsia"/>
          <w:szCs w:val="24"/>
        </w:rPr>
        <w:t>及施工便道旁实施环境绿化，注意种植乔、灌、草相结合的乡土品种，使之与当地景观相协调。本项目施工期未对周围环境造成明显不利影响。</w:t>
      </w:r>
    </w:p>
    <w:p>
      <w:pPr>
        <w:pStyle w:val="4"/>
      </w:pPr>
      <w:bookmarkStart w:id="264" w:name="_Toc464657318"/>
      <w:bookmarkStart w:id="265" w:name="_Toc450651918"/>
      <w:bookmarkStart w:id="266" w:name="_Toc31006"/>
      <w:bookmarkStart w:id="267" w:name="_Toc483653505"/>
      <w:bookmarkStart w:id="268" w:name="_Toc24286"/>
      <w:bookmarkStart w:id="269" w:name="_Toc23007"/>
      <w:r>
        <w:rPr>
          <w:rFonts w:hint="eastAsia"/>
          <w:lang w:val="en-US" w:eastAsia="zh-CN"/>
        </w:rPr>
        <w:t>5</w:t>
      </w:r>
      <w:r>
        <w:rPr>
          <w:rFonts w:hint="eastAsia"/>
        </w:rPr>
        <w:t>.6</w:t>
      </w:r>
      <w:r>
        <w:rPr>
          <w:rFonts w:hint="eastAsia"/>
          <w:lang w:val="en-US" w:eastAsia="zh-CN"/>
        </w:rPr>
        <w:t xml:space="preserve"> </w:t>
      </w:r>
      <w:r>
        <w:t>施工期环境影响调查结论</w:t>
      </w:r>
      <w:bookmarkEnd w:id="264"/>
      <w:bookmarkEnd w:id="265"/>
      <w:bookmarkEnd w:id="266"/>
      <w:bookmarkEnd w:id="267"/>
      <w:bookmarkEnd w:id="268"/>
      <w:bookmarkEnd w:id="269"/>
    </w:p>
    <w:p>
      <w:pPr>
        <w:pStyle w:val="2"/>
        <w:spacing w:after="0" w:line="360" w:lineRule="auto"/>
        <w:ind w:firstLine="480"/>
        <w:rPr>
          <w:rFonts w:ascii="Times New Roman" w:hAnsi="Times New Roman"/>
        </w:rPr>
      </w:pPr>
      <w:r>
        <w:rPr>
          <w:rFonts w:ascii="Times New Roman" w:hAnsi="Times New Roman"/>
        </w:rPr>
        <w:t>本项目施工期内未受到过环保行政处罚，没有发生重特大环境污染事故，没有发生环保诉求、走访、信访和上访事件。</w:t>
      </w:r>
      <w:r>
        <w:rPr>
          <w:rFonts w:ascii="Times New Roman" w:hAnsi="Times New Roman"/>
          <w:spacing w:val="-2"/>
        </w:rPr>
        <w:t>通过分发公众参与调查表，调查得出：公众认为施工期未造成</w:t>
      </w:r>
      <w:r>
        <w:rPr>
          <w:rFonts w:ascii="Times New Roman" w:hAnsi="Times New Roman"/>
        </w:rPr>
        <w:t>明显</w:t>
      </w:r>
      <w:r>
        <w:rPr>
          <w:rFonts w:ascii="Times New Roman" w:hAnsi="Times New Roman"/>
          <w:spacing w:val="-2"/>
        </w:rPr>
        <w:t>影响，并没</w:t>
      </w:r>
      <w:r>
        <w:rPr>
          <w:rFonts w:ascii="Times New Roman" w:hAnsi="Times New Roman"/>
        </w:rPr>
        <w:t>有影响到群众的正常生活和生产。</w:t>
      </w:r>
    </w:p>
    <w:p>
      <w:pPr>
        <w:pStyle w:val="2"/>
        <w:ind w:firstLine="480" w:firstLineChars="200"/>
        <w:jc w:val="both"/>
        <w:rPr>
          <w:rFonts w:ascii="Times New Roman" w:hAnsi="Times New Roma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rPr>
        <w:t>本次验收调查时施工期已经结束，根据工程施工阶段</w:t>
      </w:r>
      <w:r>
        <w:rPr>
          <w:rFonts w:hint="eastAsia"/>
          <w:lang w:eastAsia="zh-CN"/>
        </w:rPr>
        <w:t>记录</w:t>
      </w:r>
      <w:r>
        <w:rPr>
          <w:rFonts w:ascii="Times New Roman" w:hAnsi="Times New Roman"/>
        </w:rPr>
        <w:t>，项目建设过程中施工方严格按照环评及批复要求施工，对施工扬尘、噪声采取了相应的控制措施，施工废水、冲洗废水等循环利用不外排，施工结束后施工现场均已清理，施工期没有出现环境污染情况</w:t>
      </w:r>
    </w:p>
    <w:p>
      <w:pPr>
        <w:pStyle w:val="3"/>
        <w:numPr>
          <w:ilvl w:val="0"/>
          <w:numId w:val="0"/>
        </w:numPr>
        <w:jc w:val="center"/>
        <w:rPr>
          <w:rFonts w:hint="eastAsia"/>
          <w:color w:val="auto"/>
          <w:lang w:val="en-US" w:eastAsia="zh-CN"/>
        </w:rPr>
      </w:pPr>
      <w:bookmarkStart w:id="270" w:name="_Toc20237"/>
      <w:r>
        <w:rPr>
          <w:rFonts w:hint="eastAsia"/>
          <w:color w:val="auto"/>
          <w:lang w:val="en-US" w:eastAsia="zh-CN"/>
        </w:rPr>
        <w:t>6 生态影响调查</w:t>
      </w:r>
      <w:bookmarkEnd w:id="270"/>
    </w:p>
    <w:p>
      <w:pPr>
        <w:pStyle w:val="4"/>
        <w:rPr>
          <w:rFonts w:hint="eastAsia"/>
          <w:color w:val="auto"/>
          <w:shd w:val="clear" w:color="auto" w:fill="auto"/>
          <w:lang w:val="en-US" w:eastAsia="zh-CN"/>
        </w:rPr>
      </w:pPr>
      <w:bookmarkStart w:id="271" w:name="_Toc8601"/>
      <w:bookmarkStart w:id="272" w:name="_Toc3235"/>
      <w:r>
        <w:rPr>
          <w:rFonts w:hint="eastAsia"/>
          <w:color w:val="auto"/>
          <w:shd w:val="clear" w:color="auto" w:fill="auto"/>
          <w:lang w:val="en-US" w:eastAsia="zh-CN"/>
        </w:rPr>
        <w:t>6.1 生态环境现状调查</w:t>
      </w:r>
      <w:bookmarkEnd w:id="271"/>
      <w:bookmarkEnd w:id="272"/>
    </w:p>
    <w:p>
      <w:pPr>
        <w:pStyle w:val="5"/>
        <w:rPr>
          <w:rFonts w:hint="eastAsia"/>
          <w:lang w:val="en-US" w:eastAsia="zh-CN"/>
        </w:rPr>
      </w:pPr>
      <w:r>
        <w:rPr>
          <w:rFonts w:hint="eastAsia"/>
          <w:lang w:val="en-US" w:eastAsia="zh-CN"/>
        </w:rPr>
        <w:t>6.1.1自然生态现状</w:t>
      </w:r>
    </w:p>
    <w:p>
      <w:pPr>
        <w:rPr>
          <w:rFonts w:hint="eastAsia"/>
          <w:color w:val="auto"/>
          <w:shd w:val="clear" w:color="auto" w:fill="auto"/>
          <w:lang w:val="en-US" w:eastAsia="zh-CN"/>
        </w:rPr>
      </w:pPr>
      <w:r>
        <w:rPr>
          <w:rFonts w:hint="eastAsia"/>
          <w:color w:val="auto"/>
          <w:shd w:val="clear" w:color="auto" w:fill="auto"/>
          <w:lang w:val="en-US" w:eastAsia="zh-CN"/>
        </w:rPr>
        <w:t>（1）植物资源现状</w:t>
      </w:r>
    </w:p>
    <w:p>
      <w:pPr>
        <w:ind w:firstLine="480" w:firstLineChars="200"/>
        <w:rPr>
          <w:color w:val="000000"/>
          <w:sz w:val="24"/>
        </w:rPr>
      </w:pPr>
      <w:r>
        <w:rPr>
          <w:rFonts w:hint="eastAsia"/>
          <w:color w:val="000000"/>
          <w:sz w:val="24"/>
        </w:rPr>
        <w:t>池州</w:t>
      </w:r>
      <w:r>
        <w:rPr>
          <w:color w:val="000000"/>
          <w:sz w:val="24"/>
        </w:rPr>
        <w:t>市地处亚热湿润气候，亚热带典型植物群落类型在这里都很齐全，且生长发育得很好，是常绿阔叶林向落叶林过渡地带，常绿树与落叶树混生，有常绿阔叶林、常绿落叶阔叶混交林落叶阔叶林、针叶林、竹林等，还有一些栽培的亚热带经济林木。全市境内有高等种子植物153科676属1557种（含种及其以下等级，其中野生1430种，栽培127种），其中国家和省重点保护的有26种。组成森林植被的主要种子植物有杉科、松科、柏科、杨柳科、胡桃科、桦木科、壳斗科、榆科、桑科、木兰科、樟科、山茶科、金缕梅科、漆树科、楝科、茜草科、木犀科、蔷薇科、冬青科、豆科、毛茛科、山茱萸科、虎耳草科、柿树科、大戟科、蝶形花科、忍冬科、山矾科等千余种。山区丘陵，竹类资源广泛分布，主要有毛竹、桂竹等十余种，其中毛竹资源最多，且大片成林。重点保护树种有连香树、红豆杉，永瓣藤、香果树、金钱松、黄山木兰、香榧、银鹊树、猬实、青钱柳等。</w:t>
      </w:r>
    </w:p>
    <w:p>
      <w:pPr>
        <w:pStyle w:val="2"/>
        <w:jc w:val="center"/>
        <w:rPr>
          <w:rFonts w:hint="eastAsia"/>
          <w:b/>
          <w:bCs/>
          <w:color w:val="000000"/>
          <w:sz w:val="21"/>
          <w:szCs w:val="21"/>
          <w:lang w:eastAsia="zh-CN"/>
        </w:rPr>
      </w:pPr>
      <w:r>
        <w:rPr>
          <w:rFonts w:hint="eastAsia"/>
          <w:b/>
          <w:bCs/>
          <w:color w:val="000000"/>
          <w:sz w:val="21"/>
          <w:szCs w:val="21"/>
          <w:lang w:eastAsia="zh-CN"/>
        </w:rPr>
        <w:drawing>
          <wp:inline distT="0" distB="0" distL="114300" distR="114300">
            <wp:extent cx="2385060" cy="2491105"/>
            <wp:effectExtent l="0" t="0" r="15240" b="4445"/>
            <wp:docPr id="148" name="图片 148" descr="666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6666666"/>
                    <pic:cNvPicPr>
                      <a:picLocks noChangeAspect="1"/>
                    </pic:cNvPicPr>
                  </pic:nvPicPr>
                  <pic:blipFill>
                    <a:blip r:embed="rId28"/>
                    <a:srcRect t="12210" b="20452"/>
                    <a:stretch>
                      <a:fillRect/>
                    </a:stretch>
                  </pic:blipFill>
                  <pic:spPr>
                    <a:xfrm>
                      <a:off x="0" y="0"/>
                      <a:ext cx="2385060" cy="2491105"/>
                    </a:xfrm>
                    <a:prstGeom prst="rect">
                      <a:avLst/>
                    </a:prstGeom>
                  </pic:spPr>
                </pic:pic>
              </a:graphicData>
            </a:graphic>
          </wp:inline>
        </w:drawing>
      </w:r>
      <w:r>
        <w:rPr>
          <w:rFonts w:hint="eastAsia"/>
          <w:b/>
          <w:bCs/>
          <w:color w:val="000000"/>
          <w:sz w:val="21"/>
          <w:szCs w:val="21"/>
          <w:lang w:val="en-US" w:eastAsia="zh-CN"/>
        </w:rPr>
        <w:t xml:space="preserve">  </w:t>
      </w:r>
      <w:r>
        <w:rPr>
          <w:rFonts w:hint="eastAsia"/>
          <w:b/>
          <w:bCs/>
          <w:color w:val="000000"/>
          <w:sz w:val="21"/>
          <w:szCs w:val="21"/>
          <w:lang w:eastAsia="zh-CN"/>
        </w:rPr>
        <w:drawing>
          <wp:inline distT="0" distB="0" distL="114300" distR="114300">
            <wp:extent cx="2389505" cy="2496820"/>
            <wp:effectExtent l="0" t="0" r="10795" b="17780"/>
            <wp:docPr id="147" name="图片 147" descr="7777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77777777"/>
                    <pic:cNvPicPr>
                      <a:picLocks noChangeAspect="1"/>
                    </pic:cNvPicPr>
                  </pic:nvPicPr>
                  <pic:blipFill>
                    <a:blip r:embed="rId29"/>
                    <a:srcRect l="39051"/>
                    <a:stretch>
                      <a:fillRect/>
                    </a:stretch>
                  </pic:blipFill>
                  <pic:spPr>
                    <a:xfrm>
                      <a:off x="0" y="0"/>
                      <a:ext cx="2389505" cy="2496820"/>
                    </a:xfrm>
                    <a:prstGeom prst="rect">
                      <a:avLst/>
                    </a:prstGeom>
                  </pic:spPr>
                </pic:pic>
              </a:graphicData>
            </a:graphic>
          </wp:inline>
        </w:drawing>
      </w:r>
    </w:p>
    <w:p>
      <w:pPr>
        <w:pStyle w:val="2"/>
        <w:jc w:val="center"/>
        <w:rPr>
          <w:rFonts w:hint="eastAsia" w:eastAsia="宋体"/>
          <w:b/>
          <w:bCs/>
          <w:sz w:val="21"/>
          <w:szCs w:val="21"/>
          <w:lang w:val="en-US" w:eastAsia="zh-CN"/>
        </w:rPr>
      </w:pPr>
      <w:r>
        <w:rPr>
          <w:rFonts w:hint="eastAsia"/>
          <w:b/>
          <w:bCs/>
          <w:color w:val="000000"/>
          <w:sz w:val="21"/>
          <w:szCs w:val="21"/>
          <w:lang w:eastAsia="zh-CN"/>
        </w:rPr>
        <w:t>图</w:t>
      </w:r>
      <w:r>
        <w:rPr>
          <w:rFonts w:hint="eastAsia"/>
          <w:b/>
          <w:bCs/>
          <w:color w:val="000000"/>
          <w:sz w:val="21"/>
          <w:szCs w:val="21"/>
          <w:lang w:val="en-US" w:eastAsia="zh-CN"/>
        </w:rPr>
        <w:t>6.1-1 项目附近植被现状</w:t>
      </w:r>
    </w:p>
    <w:p>
      <w:pPr>
        <w:rPr>
          <w:rFonts w:hint="eastAsia"/>
          <w:color w:val="auto"/>
          <w:lang w:val="en-US" w:eastAsia="zh-CN"/>
        </w:rPr>
      </w:pPr>
      <w:r>
        <w:rPr>
          <w:rFonts w:hint="eastAsia"/>
          <w:color w:val="auto"/>
          <w:lang w:val="en-US" w:eastAsia="zh-CN"/>
        </w:rPr>
        <w:t>（2）动物资源现状</w:t>
      </w:r>
    </w:p>
    <w:p>
      <w:pPr>
        <w:spacing w:line="360" w:lineRule="auto"/>
        <w:ind w:firstLine="480"/>
        <w:rPr>
          <w:rFonts w:hint="eastAsia"/>
          <w:color w:val="000000"/>
          <w:sz w:val="24"/>
        </w:rPr>
      </w:pPr>
      <w:r>
        <w:rPr>
          <w:color w:val="000000"/>
          <w:sz w:val="24"/>
        </w:rPr>
        <w:t>池州是安徽重点林区，蕴藏着丰富的野生动物资源，是全省野生动物主要分布区。境内有水生、陆生脊椎动物556种，占全省种类的88%，其中兽类83种，鸟类285种。两栖爬行类78种，鱼类110种。国家重点保护野生动物69种，占全省的77%。</w:t>
      </w:r>
    </w:p>
    <w:p>
      <w:pPr>
        <w:spacing w:line="360" w:lineRule="auto"/>
        <w:ind w:firstLine="480"/>
        <w:rPr>
          <w:rFonts w:hint="eastAsia"/>
          <w:color w:val="000000"/>
          <w:sz w:val="24"/>
        </w:rPr>
      </w:pPr>
      <w:r>
        <w:rPr>
          <w:rFonts w:hint="eastAsia"/>
          <w:color w:val="000000"/>
          <w:sz w:val="24"/>
        </w:rPr>
        <w:t>本矿山已开采数年，评价区内人为活动较为频繁，根据现场调查及咨询有关部门，区内未发现有</w:t>
      </w:r>
      <w:r>
        <w:rPr>
          <w:color w:val="000000"/>
          <w:sz w:val="24"/>
        </w:rPr>
        <w:t>重点保护野生动物</w:t>
      </w:r>
      <w:r>
        <w:rPr>
          <w:rFonts w:hint="eastAsia"/>
          <w:color w:val="000000"/>
          <w:sz w:val="24"/>
        </w:rPr>
        <w:t>或树种分布。</w:t>
      </w:r>
    </w:p>
    <w:p>
      <w:pPr>
        <w:pStyle w:val="5"/>
      </w:pPr>
      <w:r>
        <w:rPr>
          <w:rFonts w:hint="eastAsia"/>
          <w:lang w:val="en-US" w:eastAsia="zh-CN"/>
        </w:rPr>
        <w:t>6.1.2</w:t>
      </w:r>
      <w:r>
        <w:t>水土流失现状评价</w:t>
      </w:r>
    </w:p>
    <w:p>
      <w:pPr>
        <w:spacing w:line="460" w:lineRule="exact"/>
        <w:ind w:firstLine="480" w:firstLineChars="200"/>
        <w:jc w:val="left"/>
        <w:rPr>
          <w:color w:val="000000"/>
          <w:sz w:val="24"/>
        </w:rPr>
      </w:pPr>
      <w:r>
        <w:rPr>
          <w:color w:val="000000"/>
          <w:sz w:val="24"/>
        </w:rPr>
        <w:t>本项目所处区域主要为低山丘陵地带，多为林地、灌木林地覆盖，绿地覆盖率较高，区域水土流失情况较少，本项目</w:t>
      </w:r>
      <w:r>
        <w:rPr>
          <w:rFonts w:hint="eastAsia"/>
          <w:color w:val="000000"/>
          <w:sz w:val="24"/>
        </w:rPr>
        <w:t>改扩建</w:t>
      </w:r>
      <w:r>
        <w:rPr>
          <w:color w:val="000000"/>
          <w:sz w:val="24"/>
        </w:rPr>
        <w:t>前，所在山体覆盖植被受到现有矿山开采过程造成的破坏，至今仅进行</w:t>
      </w:r>
      <w:r>
        <w:rPr>
          <w:rFonts w:hint="eastAsia"/>
          <w:color w:val="000000"/>
          <w:sz w:val="24"/>
        </w:rPr>
        <w:t>小</w:t>
      </w:r>
      <w:r>
        <w:rPr>
          <w:color w:val="000000"/>
          <w:sz w:val="24"/>
        </w:rPr>
        <w:t>部分区域土壤复垦，生态恢复，存在一定的水土流失风险。</w:t>
      </w:r>
    </w:p>
    <w:p>
      <w:pPr>
        <w:spacing w:line="460" w:lineRule="exact"/>
        <w:ind w:firstLine="480" w:firstLineChars="200"/>
        <w:jc w:val="left"/>
        <w:rPr>
          <w:rFonts w:hint="eastAsia"/>
          <w:color w:val="000000"/>
          <w:sz w:val="24"/>
        </w:rPr>
      </w:pPr>
      <w:r>
        <w:rPr>
          <w:color w:val="000000"/>
          <w:sz w:val="24"/>
        </w:rPr>
        <w:t>现有矿山废土石堆场表层土壤极易在雨滴击溅和冲刷下，随径流沿坡面向下移动，造成水土流失。区域水土流失的评价标准采用SL190-96《土壤侵蚀强度分类分级标准》。</w:t>
      </w:r>
    </w:p>
    <w:p>
      <w:pPr>
        <w:spacing w:line="460" w:lineRule="exact"/>
        <w:ind w:firstLine="360" w:firstLineChars="150"/>
        <w:jc w:val="left"/>
        <w:rPr>
          <w:color w:val="000000"/>
          <w:sz w:val="24"/>
        </w:rPr>
      </w:pPr>
      <w:r>
        <w:rPr>
          <w:color w:val="000000"/>
          <w:sz w:val="24"/>
        </w:rPr>
        <w:t>由于评价区域总体植被覆盖率较高，水土保持功能较强，同时开采矿体岩性较稳定，因此，总体上评价区域大都属轻度侵蚀区，一般平均侵蚀模数在15（t/(hm</w:t>
      </w:r>
      <w:r>
        <w:rPr>
          <w:color w:val="000000"/>
          <w:sz w:val="24"/>
          <w:vertAlign w:val="superscript"/>
        </w:rPr>
        <w:t>2</w:t>
      </w:r>
      <w:r>
        <w:rPr>
          <w:color w:val="000000"/>
          <w:sz w:val="24"/>
        </w:rPr>
        <w:t>*a)）左右。</w:t>
      </w:r>
    </w:p>
    <w:p>
      <w:pPr>
        <w:spacing w:line="360" w:lineRule="auto"/>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表</w:t>
      </w:r>
      <w:r>
        <w:rPr>
          <w:rFonts w:hint="eastAsia" w:cs="Times New Roman"/>
          <w:b/>
          <w:bCs/>
          <w:color w:val="000000"/>
          <w:sz w:val="21"/>
          <w:szCs w:val="21"/>
          <w:lang w:val="en-US" w:eastAsia="zh-CN"/>
        </w:rPr>
        <w:t>6</w:t>
      </w:r>
      <w:r>
        <w:rPr>
          <w:rFonts w:hint="default" w:ascii="Times New Roman" w:hAnsi="Times New Roman" w:cs="Times New Roman"/>
          <w:b/>
          <w:bCs/>
          <w:color w:val="000000"/>
          <w:sz w:val="21"/>
          <w:szCs w:val="21"/>
          <w:lang w:val="en-US" w:eastAsia="zh-CN"/>
        </w:rPr>
        <w:t>.1</w:t>
      </w:r>
      <w:r>
        <w:rPr>
          <w:rFonts w:hint="eastAsia" w:cs="Times New Roman"/>
          <w:b/>
          <w:bCs/>
          <w:color w:val="000000"/>
          <w:sz w:val="21"/>
          <w:szCs w:val="21"/>
          <w:lang w:val="en-US" w:eastAsia="zh-CN"/>
        </w:rPr>
        <w:t>-1</w:t>
      </w:r>
      <w:r>
        <w:rPr>
          <w:rFonts w:hint="default" w:ascii="Times New Roman" w:hAnsi="Times New Roman" w:cs="Times New Roman"/>
          <w:b/>
          <w:bCs/>
          <w:color w:val="000000"/>
          <w:sz w:val="21"/>
          <w:szCs w:val="21"/>
        </w:rPr>
        <w:t xml:space="preserve"> 土壤侵蚀强度分类分级标准</w:t>
      </w:r>
    </w:p>
    <w:tbl>
      <w:tblPr>
        <w:tblStyle w:val="16"/>
        <w:tblW w:w="8507" w:type="dxa"/>
        <w:jc w:val="center"/>
        <w:tblInd w:w="439"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71"/>
        <w:gridCol w:w="463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3" w:hRule="atLeast"/>
          <w:jc w:val="center"/>
        </w:trPr>
        <w:tc>
          <w:tcPr>
            <w:tcW w:w="3871" w:type="dxa"/>
            <w:tcBorders>
              <w:tl2br w:val="nil"/>
              <w:tr2bl w:val="nil"/>
            </w:tcBorders>
            <w:vAlign w:val="top"/>
          </w:tcPr>
          <w:p>
            <w:pPr>
              <w:spacing w:line="400" w:lineRule="exact"/>
              <w:jc w:val="center"/>
              <w:rPr>
                <w:b/>
                <w:bCs/>
                <w:color w:val="000000"/>
                <w:sz w:val="21"/>
                <w:szCs w:val="21"/>
              </w:rPr>
            </w:pPr>
            <w:r>
              <w:rPr>
                <w:b/>
                <w:bCs/>
                <w:color w:val="000000"/>
                <w:sz w:val="21"/>
                <w:szCs w:val="21"/>
              </w:rPr>
              <w:t>级别</w:t>
            </w:r>
          </w:p>
        </w:tc>
        <w:tc>
          <w:tcPr>
            <w:tcW w:w="4636" w:type="dxa"/>
            <w:tcBorders>
              <w:tl2br w:val="nil"/>
              <w:tr2bl w:val="nil"/>
            </w:tcBorders>
            <w:vAlign w:val="top"/>
          </w:tcPr>
          <w:p>
            <w:pPr>
              <w:spacing w:line="400" w:lineRule="exact"/>
              <w:ind w:firstLine="316" w:firstLineChars="150"/>
              <w:jc w:val="center"/>
              <w:rPr>
                <w:b/>
                <w:bCs/>
                <w:color w:val="000000"/>
                <w:sz w:val="21"/>
                <w:szCs w:val="21"/>
              </w:rPr>
            </w:pPr>
            <w:r>
              <w:rPr>
                <w:b/>
                <w:bCs/>
                <w:color w:val="000000"/>
                <w:sz w:val="21"/>
                <w:szCs w:val="21"/>
              </w:rPr>
              <w:t>平均侵蚀模数（t/(hm</w:t>
            </w:r>
            <w:r>
              <w:rPr>
                <w:b/>
                <w:bCs/>
                <w:color w:val="000000"/>
                <w:sz w:val="21"/>
                <w:szCs w:val="21"/>
                <w:vertAlign w:val="superscript"/>
              </w:rPr>
              <w:t>2</w:t>
            </w:r>
            <w:r>
              <w:rPr>
                <w:b/>
                <w:bCs/>
                <w:color w:val="000000"/>
                <w:sz w:val="21"/>
                <w:szCs w:val="21"/>
              </w:rPr>
              <w:t>*a)）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3" w:hRule="atLeast"/>
          <w:jc w:val="center"/>
        </w:trPr>
        <w:tc>
          <w:tcPr>
            <w:tcW w:w="3871" w:type="dxa"/>
            <w:tcBorders>
              <w:tl2br w:val="nil"/>
              <w:tr2bl w:val="nil"/>
            </w:tcBorders>
            <w:vAlign w:val="top"/>
          </w:tcPr>
          <w:p>
            <w:pPr>
              <w:spacing w:line="400" w:lineRule="exact"/>
              <w:jc w:val="center"/>
              <w:rPr>
                <w:color w:val="000000"/>
                <w:sz w:val="21"/>
                <w:szCs w:val="21"/>
              </w:rPr>
            </w:pPr>
            <w:r>
              <w:rPr>
                <w:color w:val="000000"/>
                <w:sz w:val="21"/>
                <w:szCs w:val="21"/>
              </w:rPr>
              <w:t>微度侵蚀</w:t>
            </w:r>
          </w:p>
        </w:tc>
        <w:tc>
          <w:tcPr>
            <w:tcW w:w="4636" w:type="dxa"/>
            <w:tcBorders>
              <w:tl2br w:val="nil"/>
              <w:tr2bl w:val="nil"/>
            </w:tcBorders>
            <w:vAlign w:val="top"/>
          </w:tcPr>
          <w:p>
            <w:pPr>
              <w:spacing w:line="400" w:lineRule="exact"/>
              <w:jc w:val="center"/>
              <w:rPr>
                <w:color w:val="000000"/>
                <w:sz w:val="21"/>
                <w:szCs w:val="21"/>
              </w:rPr>
            </w:pPr>
            <w:r>
              <w:rPr>
                <w:color w:val="000000"/>
                <w:sz w:val="21"/>
                <w:szCs w:val="21"/>
              </w:rPr>
              <w:t>＜5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3" w:hRule="atLeast"/>
          <w:jc w:val="center"/>
        </w:trPr>
        <w:tc>
          <w:tcPr>
            <w:tcW w:w="3871" w:type="dxa"/>
            <w:tcBorders>
              <w:tl2br w:val="nil"/>
              <w:tr2bl w:val="nil"/>
            </w:tcBorders>
            <w:vAlign w:val="top"/>
          </w:tcPr>
          <w:p>
            <w:pPr>
              <w:spacing w:line="400" w:lineRule="exact"/>
              <w:jc w:val="center"/>
              <w:rPr>
                <w:color w:val="000000"/>
                <w:sz w:val="21"/>
                <w:szCs w:val="21"/>
              </w:rPr>
            </w:pPr>
            <w:r>
              <w:rPr>
                <w:color w:val="000000"/>
                <w:sz w:val="21"/>
                <w:szCs w:val="21"/>
              </w:rPr>
              <w:t>轻度侵蚀</w:t>
            </w:r>
          </w:p>
        </w:tc>
        <w:tc>
          <w:tcPr>
            <w:tcW w:w="4636" w:type="dxa"/>
            <w:tcBorders>
              <w:tl2br w:val="nil"/>
              <w:tr2bl w:val="nil"/>
            </w:tcBorders>
            <w:vAlign w:val="top"/>
          </w:tcPr>
          <w:p>
            <w:pPr>
              <w:spacing w:line="400" w:lineRule="exact"/>
              <w:jc w:val="center"/>
              <w:rPr>
                <w:color w:val="000000"/>
                <w:sz w:val="21"/>
                <w:szCs w:val="21"/>
              </w:rPr>
            </w:pPr>
            <w:r>
              <w:rPr>
                <w:color w:val="000000"/>
                <w:sz w:val="21"/>
                <w:szCs w:val="21"/>
              </w:rPr>
              <w:t>5~25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3" w:hRule="atLeast"/>
          <w:jc w:val="center"/>
        </w:trPr>
        <w:tc>
          <w:tcPr>
            <w:tcW w:w="3871" w:type="dxa"/>
            <w:tcBorders>
              <w:tl2br w:val="nil"/>
              <w:tr2bl w:val="nil"/>
            </w:tcBorders>
            <w:vAlign w:val="top"/>
          </w:tcPr>
          <w:p>
            <w:pPr>
              <w:spacing w:line="400" w:lineRule="exact"/>
              <w:jc w:val="center"/>
              <w:rPr>
                <w:color w:val="000000"/>
                <w:sz w:val="21"/>
                <w:szCs w:val="21"/>
              </w:rPr>
            </w:pPr>
            <w:r>
              <w:rPr>
                <w:color w:val="000000"/>
                <w:sz w:val="21"/>
                <w:szCs w:val="21"/>
              </w:rPr>
              <w:t>中度侵蚀</w:t>
            </w:r>
          </w:p>
        </w:tc>
        <w:tc>
          <w:tcPr>
            <w:tcW w:w="4636" w:type="dxa"/>
            <w:tcBorders>
              <w:tl2br w:val="nil"/>
              <w:tr2bl w:val="nil"/>
            </w:tcBorders>
            <w:vAlign w:val="top"/>
          </w:tcPr>
          <w:p>
            <w:pPr>
              <w:spacing w:line="400" w:lineRule="exact"/>
              <w:jc w:val="center"/>
              <w:rPr>
                <w:color w:val="000000"/>
                <w:sz w:val="21"/>
                <w:szCs w:val="21"/>
              </w:rPr>
            </w:pPr>
            <w:r>
              <w:rPr>
                <w:color w:val="000000"/>
                <w:sz w:val="21"/>
                <w:szCs w:val="21"/>
              </w:rPr>
              <w:t>25~50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3" w:hRule="atLeast"/>
          <w:jc w:val="center"/>
        </w:trPr>
        <w:tc>
          <w:tcPr>
            <w:tcW w:w="3871" w:type="dxa"/>
            <w:tcBorders>
              <w:tl2br w:val="nil"/>
              <w:tr2bl w:val="nil"/>
            </w:tcBorders>
            <w:vAlign w:val="top"/>
          </w:tcPr>
          <w:p>
            <w:pPr>
              <w:spacing w:line="400" w:lineRule="exact"/>
              <w:jc w:val="center"/>
              <w:rPr>
                <w:color w:val="000000"/>
                <w:sz w:val="21"/>
                <w:szCs w:val="21"/>
              </w:rPr>
            </w:pPr>
            <w:r>
              <w:rPr>
                <w:color w:val="000000"/>
                <w:sz w:val="21"/>
                <w:szCs w:val="21"/>
              </w:rPr>
              <w:t>强度侵蚀</w:t>
            </w:r>
          </w:p>
        </w:tc>
        <w:tc>
          <w:tcPr>
            <w:tcW w:w="4636" w:type="dxa"/>
            <w:tcBorders>
              <w:tl2br w:val="nil"/>
              <w:tr2bl w:val="nil"/>
            </w:tcBorders>
            <w:vAlign w:val="top"/>
          </w:tcPr>
          <w:p>
            <w:pPr>
              <w:spacing w:line="400" w:lineRule="exact"/>
              <w:jc w:val="center"/>
              <w:rPr>
                <w:color w:val="000000"/>
                <w:sz w:val="21"/>
                <w:szCs w:val="21"/>
              </w:rPr>
            </w:pPr>
            <w:r>
              <w:rPr>
                <w:color w:val="000000"/>
                <w:sz w:val="21"/>
                <w:szCs w:val="21"/>
              </w:rPr>
              <w:t>50~80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3" w:hRule="atLeast"/>
          <w:jc w:val="center"/>
        </w:trPr>
        <w:tc>
          <w:tcPr>
            <w:tcW w:w="3871" w:type="dxa"/>
            <w:tcBorders>
              <w:tl2br w:val="nil"/>
              <w:tr2bl w:val="nil"/>
            </w:tcBorders>
            <w:vAlign w:val="top"/>
          </w:tcPr>
          <w:p>
            <w:pPr>
              <w:spacing w:line="400" w:lineRule="exact"/>
              <w:jc w:val="center"/>
              <w:rPr>
                <w:color w:val="000000"/>
                <w:sz w:val="21"/>
                <w:szCs w:val="21"/>
              </w:rPr>
            </w:pPr>
            <w:r>
              <w:rPr>
                <w:color w:val="000000"/>
                <w:sz w:val="21"/>
                <w:szCs w:val="21"/>
              </w:rPr>
              <w:t>极强度侵蚀</w:t>
            </w:r>
          </w:p>
        </w:tc>
        <w:tc>
          <w:tcPr>
            <w:tcW w:w="4636" w:type="dxa"/>
            <w:tcBorders>
              <w:tl2br w:val="nil"/>
              <w:tr2bl w:val="nil"/>
            </w:tcBorders>
            <w:vAlign w:val="top"/>
          </w:tcPr>
          <w:p>
            <w:pPr>
              <w:spacing w:line="400" w:lineRule="exact"/>
              <w:jc w:val="center"/>
              <w:rPr>
                <w:color w:val="000000"/>
                <w:sz w:val="21"/>
                <w:szCs w:val="21"/>
              </w:rPr>
            </w:pPr>
            <w:r>
              <w:rPr>
                <w:color w:val="000000"/>
                <w:sz w:val="21"/>
                <w:szCs w:val="21"/>
              </w:rPr>
              <w:t>80~150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3" w:hRule="atLeast"/>
          <w:jc w:val="center"/>
        </w:trPr>
        <w:tc>
          <w:tcPr>
            <w:tcW w:w="3871" w:type="dxa"/>
            <w:tcBorders>
              <w:tl2br w:val="nil"/>
              <w:tr2bl w:val="nil"/>
            </w:tcBorders>
            <w:vAlign w:val="top"/>
          </w:tcPr>
          <w:p>
            <w:pPr>
              <w:spacing w:line="400" w:lineRule="exact"/>
              <w:jc w:val="center"/>
              <w:rPr>
                <w:color w:val="000000"/>
                <w:sz w:val="21"/>
                <w:szCs w:val="21"/>
              </w:rPr>
            </w:pPr>
            <w:r>
              <w:rPr>
                <w:color w:val="000000"/>
                <w:sz w:val="21"/>
                <w:szCs w:val="21"/>
              </w:rPr>
              <w:t>剧烈侵蚀</w:t>
            </w:r>
          </w:p>
        </w:tc>
        <w:tc>
          <w:tcPr>
            <w:tcW w:w="4636" w:type="dxa"/>
            <w:tcBorders>
              <w:tl2br w:val="nil"/>
              <w:tr2bl w:val="nil"/>
            </w:tcBorders>
            <w:vAlign w:val="top"/>
          </w:tcPr>
          <w:p>
            <w:pPr>
              <w:spacing w:line="400" w:lineRule="exact"/>
              <w:jc w:val="center"/>
              <w:rPr>
                <w:color w:val="000000"/>
                <w:sz w:val="21"/>
                <w:szCs w:val="21"/>
              </w:rPr>
            </w:pPr>
            <w:r>
              <w:rPr>
                <w:color w:val="000000"/>
                <w:sz w:val="21"/>
                <w:szCs w:val="21"/>
              </w:rPr>
              <w:t>＞150</w:t>
            </w:r>
          </w:p>
        </w:tc>
      </w:tr>
    </w:tbl>
    <w:p>
      <w:pPr>
        <w:pStyle w:val="4"/>
        <w:rPr>
          <w:rFonts w:hint="eastAsia"/>
          <w:color w:val="auto"/>
          <w:lang w:val="en-US" w:eastAsia="zh-CN"/>
        </w:rPr>
      </w:pPr>
      <w:bookmarkStart w:id="273" w:name="_Toc9691"/>
      <w:bookmarkStart w:id="274" w:name="_Toc9135"/>
      <w:r>
        <w:rPr>
          <w:rFonts w:hint="eastAsia"/>
          <w:color w:val="auto"/>
          <w:lang w:val="en-US" w:eastAsia="zh-CN"/>
        </w:rPr>
        <w:t>6.2 生态环境影响调查与分析</w:t>
      </w:r>
      <w:bookmarkEnd w:id="273"/>
      <w:bookmarkEnd w:id="274"/>
    </w:p>
    <w:p>
      <w:pPr>
        <w:pStyle w:val="5"/>
        <w:rPr>
          <w:rFonts w:hint="eastAsia"/>
          <w:color w:val="auto"/>
          <w:lang w:val="en-US" w:eastAsia="zh-CN"/>
        </w:rPr>
      </w:pPr>
      <w:r>
        <w:rPr>
          <w:rFonts w:hint="eastAsia"/>
          <w:color w:val="auto"/>
          <w:lang w:val="en-US" w:eastAsia="zh-CN"/>
        </w:rPr>
        <w:t>6.2.1工程占地区生态影响</w:t>
      </w:r>
    </w:p>
    <w:p>
      <w:pPr>
        <w:ind w:firstLine="480" w:firstLineChars="200"/>
        <w:rPr>
          <w:rFonts w:hAnsi="宋体"/>
          <w:color w:val="000000"/>
          <w:kern w:val="0"/>
          <w:sz w:val="24"/>
        </w:rPr>
      </w:pPr>
      <w:r>
        <w:rPr>
          <w:rFonts w:hAnsi="宋体"/>
          <w:color w:val="000000"/>
          <w:kern w:val="0"/>
          <w:sz w:val="24"/>
        </w:rPr>
        <w:t>本矿项目建设区是工程直接造成损坏和扰动、增加水土流失的区域</w:t>
      </w:r>
      <w:r>
        <w:rPr>
          <w:rFonts w:hint="eastAsia" w:hAnsi="宋体"/>
          <w:color w:val="000000"/>
          <w:kern w:val="0"/>
          <w:sz w:val="24"/>
        </w:rPr>
        <w:t>，</w:t>
      </w:r>
      <w:r>
        <w:rPr>
          <w:rFonts w:hAnsi="宋体"/>
          <w:color w:val="000000"/>
          <w:kern w:val="0"/>
          <w:sz w:val="24"/>
        </w:rPr>
        <w:t>总面积为</w:t>
      </w:r>
      <w:r>
        <w:rPr>
          <w:rFonts w:hint="eastAsia"/>
          <w:color w:val="000000"/>
          <w:kern w:val="0"/>
          <w:sz w:val="24"/>
        </w:rPr>
        <w:t>9.32</w:t>
      </w:r>
      <w:r>
        <w:rPr>
          <w:color w:val="000000"/>
          <w:kern w:val="0"/>
          <w:sz w:val="24"/>
        </w:rPr>
        <w:t>hm</w:t>
      </w:r>
      <w:r>
        <w:rPr>
          <w:color w:val="000000"/>
          <w:kern w:val="0"/>
          <w:sz w:val="24"/>
          <w:vertAlign w:val="superscript"/>
        </w:rPr>
        <w:t>2</w:t>
      </w:r>
      <w:r>
        <w:rPr>
          <w:rFonts w:hint="eastAsia" w:hAnsi="宋体"/>
          <w:color w:val="000000"/>
          <w:kern w:val="0"/>
          <w:sz w:val="24"/>
        </w:rPr>
        <w:t>，</w:t>
      </w:r>
      <w:r>
        <w:rPr>
          <w:rFonts w:hAnsi="宋体"/>
          <w:color w:val="000000"/>
          <w:kern w:val="0"/>
          <w:sz w:val="24"/>
        </w:rPr>
        <w:t>占地类型为灌木林地</w:t>
      </w:r>
      <w:r>
        <w:rPr>
          <w:rFonts w:hint="eastAsia" w:hAnsi="宋体"/>
          <w:color w:val="000000"/>
          <w:kern w:val="0"/>
          <w:sz w:val="24"/>
        </w:rPr>
        <w:t>，</w:t>
      </w:r>
      <w:r>
        <w:rPr>
          <w:rFonts w:hAnsi="宋体"/>
          <w:color w:val="000000"/>
          <w:kern w:val="0"/>
          <w:sz w:val="24"/>
        </w:rPr>
        <w:t>包括工业场地区（</w:t>
      </w:r>
      <w:r>
        <w:rPr>
          <w:color w:val="000000"/>
          <w:kern w:val="0"/>
          <w:sz w:val="24"/>
        </w:rPr>
        <w:t>1.37hm</w:t>
      </w:r>
      <w:r>
        <w:rPr>
          <w:color w:val="000000"/>
          <w:kern w:val="0"/>
          <w:sz w:val="24"/>
          <w:vertAlign w:val="superscript"/>
        </w:rPr>
        <w:t>2</w:t>
      </w:r>
      <w:r>
        <w:rPr>
          <w:rFonts w:hAnsi="宋体"/>
          <w:color w:val="000000"/>
          <w:kern w:val="0"/>
          <w:sz w:val="24"/>
        </w:rPr>
        <w:t>）、矿区道路区（</w:t>
      </w:r>
      <w:r>
        <w:rPr>
          <w:color w:val="000000"/>
          <w:kern w:val="0"/>
          <w:sz w:val="24"/>
        </w:rPr>
        <w:t>0.17hm</w:t>
      </w:r>
      <w:r>
        <w:rPr>
          <w:color w:val="000000"/>
          <w:kern w:val="0"/>
          <w:sz w:val="24"/>
          <w:vertAlign w:val="superscript"/>
        </w:rPr>
        <w:t>2</w:t>
      </w:r>
      <w:r>
        <w:rPr>
          <w:rFonts w:hAnsi="宋体"/>
          <w:color w:val="000000"/>
          <w:kern w:val="0"/>
          <w:sz w:val="24"/>
        </w:rPr>
        <w:t>）、</w:t>
      </w:r>
      <w:r>
        <w:rPr>
          <w:rFonts w:hint="eastAsia" w:hAnsi="宋体"/>
          <w:color w:val="000000"/>
          <w:kern w:val="0"/>
          <w:sz w:val="24"/>
        </w:rPr>
        <w:t>坑采</w:t>
      </w:r>
      <w:r>
        <w:rPr>
          <w:rFonts w:hAnsi="宋体"/>
          <w:color w:val="000000"/>
          <w:kern w:val="0"/>
          <w:sz w:val="24"/>
        </w:rPr>
        <w:t>地表错动区（</w:t>
      </w:r>
      <w:r>
        <w:rPr>
          <w:rFonts w:hint="eastAsia"/>
          <w:color w:val="000000"/>
          <w:kern w:val="0"/>
          <w:sz w:val="24"/>
        </w:rPr>
        <w:t>7.48</w:t>
      </w:r>
      <w:r>
        <w:rPr>
          <w:color w:val="000000"/>
          <w:kern w:val="0"/>
          <w:sz w:val="24"/>
        </w:rPr>
        <w:t>hm</w:t>
      </w:r>
      <w:r>
        <w:rPr>
          <w:color w:val="000000"/>
          <w:kern w:val="0"/>
          <w:sz w:val="24"/>
          <w:vertAlign w:val="superscript"/>
        </w:rPr>
        <w:t>2</w:t>
      </w:r>
      <w:r>
        <w:rPr>
          <w:rFonts w:hAnsi="宋体"/>
          <w:color w:val="000000"/>
          <w:kern w:val="0"/>
          <w:sz w:val="24"/>
        </w:rPr>
        <w:t>）等。</w:t>
      </w:r>
    </w:p>
    <w:p>
      <w:pPr>
        <w:tabs>
          <w:tab w:val="left" w:pos="0"/>
        </w:tabs>
        <w:spacing w:line="360" w:lineRule="auto"/>
        <w:ind w:firstLine="480" w:firstLineChars="200"/>
        <w:rPr>
          <w:rFonts w:hint="eastAsia" w:hAnsi="宋体"/>
          <w:color w:val="000000"/>
          <w:kern w:val="0"/>
          <w:sz w:val="24"/>
        </w:rPr>
      </w:pPr>
      <w:r>
        <w:rPr>
          <w:rFonts w:hAnsi="宋体"/>
          <w:color w:val="000000"/>
          <w:kern w:val="0"/>
          <w:sz w:val="24"/>
        </w:rPr>
        <w:t>工程建设扰动原地貌、占压土地和植被的面积为</w:t>
      </w:r>
      <w:r>
        <w:rPr>
          <w:rFonts w:hint="eastAsia" w:hAnsi="宋体"/>
          <w:color w:val="000000"/>
          <w:kern w:val="0"/>
          <w:sz w:val="24"/>
        </w:rPr>
        <w:t>工程用地及地表错动区</w:t>
      </w:r>
      <w:r>
        <w:rPr>
          <w:rFonts w:hAnsi="宋体"/>
          <w:color w:val="000000"/>
          <w:kern w:val="0"/>
          <w:sz w:val="24"/>
        </w:rPr>
        <w:t>，即</w:t>
      </w:r>
      <w:r>
        <w:rPr>
          <w:rFonts w:hint="eastAsia"/>
          <w:color w:val="000000"/>
          <w:kern w:val="0"/>
          <w:sz w:val="24"/>
        </w:rPr>
        <w:t>9.32</w:t>
      </w:r>
      <w:r>
        <w:rPr>
          <w:color w:val="000000"/>
          <w:kern w:val="0"/>
          <w:sz w:val="24"/>
        </w:rPr>
        <w:t>hm</w:t>
      </w:r>
      <w:r>
        <w:rPr>
          <w:color w:val="000000"/>
          <w:kern w:val="0"/>
          <w:sz w:val="24"/>
          <w:vertAlign w:val="superscript"/>
        </w:rPr>
        <w:t>2</w:t>
      </w:r>
      <w:r>
        <w:rPr>
          <w:rFonts w:hAnsi="宋体"/>
          <w:color w:val="000000"/>
          <w:kern w:val="0"/>
          <w:sz w:val="24"/>
        </w:rPr>
        <w:t>，</w:t>
      </w:r>
      <w:r>
        <w:rPr>
          <w:rFonts w:hint="eastAsia" w:hAnsi="宋体"/>
          <w:color w:val="000000"/>
          <w:kern w:val="0"/>
          <w:sz w:val="24"/>
        </w:rPr>
        <w:t>由于</w:t>
      </w:r>
      <w:r>
        <w:rPr>
          <w:rFonts w:hAnsi="宋体"/>
          <w:color w:val="000000"/>
          <w:kern w:val="0"/>
          <w:sz w:val="24"/>
        </w:rPr>
        <w:t>均为灌木林</w:t>
      </w:r>
      <w:r>
        <w:rPr>
          <w:rFonts w:hint="eastAsia" w:hAnsi="宋体"/>
          <w:color w:val="000000"/>
          <w:kern w:val="0"/>
          <w:sz w:val="24"/>
        </w:rPr>
        <w:t>，因此</w:t>
      </w:r>
      <w:r>
        <w:rPr>
          <w:rFonts w:hAnsi="宋体"/>
          <w:color w:val="000000"/>
          <w:kern w:val="0"/>
          <w:sz w:val="24"/>
        </w:rPr>
        <w:t>损坏水土保持设施面积</w:t>
      </w:r>
      <w:r>
        <w:rPr>
          <w:rFonts w:hint="eastAsia" w:hAnsi="宋体"/>
          <w:color w:val="000000"/>
          <w:kern w:val="0"/>
          <w:sz w:val="24"/>
        </w:rPr>
        <w:t>也</w:t>
      </w:r>
      <w:r>
        <w:rPr>
          <w:rFonts w:hAnsi="宋体"/>
          <w:color w:val="000000"/>
          <w:kern w:val="0"/>
          <w:sz w:val="24"/>
        </w:rPr>
        <w:t>为</w:t>
      </w:r>
      <w:r>
        <w:rPr>
          <w:rFonts w:hint="eastAsia"/>
          <w:color w:val="000000"/>
          <w:kern w:val="0"/>
          <w:sz w:val="24"/>
        </w:rPr>
        <w:t>9.32</w:t>
      </w:r>
      <w:r>
        <w:rPr>
          <w:color w:val="000000"/>
          <w:kern w:val="0"/>
          <w:sz w:val="24"/>
        </w:rPr>
        <w:t>hm</w:t>
      </w:r>
      <w:r>
        <w:rPr>
          <w:color w:val="000000"/>
          <w:kern w:val="0"/>
          <w:sz w:val="24"/>
          <w:vertAlign w:val="superscript"/>
        </w:rPr>
        <w:t>2</w:t>
      </w:r>
      <w:r>
        <w:rPr>
          <w:rFonts w:hint="eastAsia" w:hAnsi="宋体"/>
          <w:color w:val="000000"/>
          <w:kern w:val="0"/>
          <w:sz w:val="24"/>
        </w:rPr>
        <w:t>。</w:t>
      </w:r>
    </w:p>
    <w:p>
      <w:pPr>
        <w:tabs>
          <w:tab w:val="left" w:pos="0"/>
        </w:tabs>
        <w:ind w:firstLine="480" w:firstLineChars="200"/>
        <w:rPr>
          <w:rFonts w:hint="eastAsia" w:hAnsi="宋体"/>
          <w:color w:val="000000"/>
          <w:kern w:val="0"/>
          <w:sz w:val="24"/>
          <w:lang w:val="en-US" w:eastAsia="zh-CN"/>
        </w:rPr>
      </w:pPr>
      <w:r>
        <w:rPr>
          <w:rFonts w:hint="eastAsia"/>
          <w:color w:val="000000"/>
          <w:sz w:val="24"/>
        </w:rPr>
        <w:t>弃石弃渣量</w:t>
      </w:r>
      <w:r>
        <w:rPr>
          <w:rFonts w:hint="eastAsia"/>
          <w:color w:val="000000"/>
          <w:sz w:val="24"/>
          <w:lang w:eastAsia="zh-CN"/>
        </w:rPr>
        <w:t>：</w:t>
      </w:r>
      <w:r>
        <w:rPr>
          <w:rFonts w:hAnsi="宋体"/>
          <w:color w:val="000000"/>
          <w:kern w:val="0"/>
          <w:sz w:val="24"/>
        </w:rPr>
        <w:t>本项目共计弃方</w:t>
      </w:r>
      <w:r>
        <w:rPr>
          <w:color w:val="000000"/>
          <w:kern w:val="0"/>
          <w:sz w:val="24"/>
        </w:rPr>
        <w:t>4456m</w:t>
      </w:r>
      <w:r>
        <w:rPr>
          <w:color w:val="000000"/>
          <w:kern w:val="0"/>
          <w:sz w:val="24"/>
          <w:vertAlign w:val="superscript"/>
        </w:rPr>
        <w:t>3</w:t>
      </w:r>
      <w:r>
        <w:rPr>
          <w:rFonts w:hAnsi="宋体"/>
          <w:color w:val="000000"/>
          <w:kern w:val="0"/>
          <w:sz w:val="24"/>
        </w:rPr>
        <w:t>，其中建设期（井巷掘进、废石堆场建设）</w:t>
      </w:r>
      <w:r>
        <w:rPr>
          <w:color w:val="000000"/>
          <w:kern w:val="0"/>
          <w:sz w:val="24"/>
        </w:rPr>
        <w:t>2452m</w:t>
      </w:r>
      <w:r>
        <w:rPr>
          <w:color w:val="000000"/>
          <w:kern w:val="0"/>
          <w:sz w:val="24"/>
          <w:vertAlign w:val="superscript"/>
        </w:rPr>
        <w:t>3</w:t>
      </w:r>
      <w:r>
        <w:rPr>
          <w:rFonts w:hAnsi="宋体"/>
          <w:color w:val="000000"/>
          <w:kern w:val="0"/>
          <w:sz w:val="24"/>
        </w:rPr>
        <w:t>，运行期</w:t>
      </w:r>
      <w:r>
        <w:rPr>
          <w:color w:val="000000"/>
          <w:kern w:val="0"/>
          <w:sz w:val="24"/>
        </w:rPr>
        <w:t>2004m</w:t>
      </w:r>
      <w:r>
        <w:rPr>
          <w:color w:val="000000"/>
          <w:kern w:val="0"/>
          <w:sz w:val="24"/>
          <w:vertAlign w:val="superscript"/>
        </w:rPr>
        <w:t>3</w:t>
      </w:r>
      <w:r>
        <w:rPr>
          <w:rFonts w:hAnsi="宋体"/>
          <w:color w:val="000000"/>
          <w:kern w:val="0"/>
          <w:sz w:val="24"/>
        </w:rPr>
        <w:t>。</w:t>
      </w:r>
    </w:p>
    <w:p>
      <w:pPr>
        <w:pStyle w:val="5"/>
        <w:rPr>
          <w:rFonts w:hint="eastAsia"/>
          <w:color w:val="auto"/>
          <w:lang w:val="en-US" w:eastAsia="zh-CN"/>
        </w:rPr>
      </w:pPr>
      <w:r>
        <w:rPr>
          <w:rFonts w:hint="eastAsia"/>
          <w:color w:val="auto"/>
          <w:lang w:val="en-US" w:eastAsia="zh-CN"/>
        </w:rPr>
        <w:t>6.2.2环评及批复中生态要求</w:t>
      </w:r>
    </w:p>
    <w:p>
      <w:pPr>
        <w:rPr>
          <w:rFonts w:hint="eastAsia"/>
          <w:color w:val="auto"/>
          <w:lang w:val="en-US" w:eastAsia="zh-CN"/>
        </w:rPr>
      </w:pPr>
      <w:r>
        <w:rPr>
          <w:rFonts w:hint="eastAsia"/>
          <w:color w:val="auto"/>
          <w:lang w:val="en-US" w:eastAsia="zh-CN"/>
        </w:rPr>
        <w:t>1、环评中要求</w:t>
      </w:r>
    </w:p>
    <w:p>
      <w:pPr>
        <w:ind w:firstLine="480" w:firstLineChars="200"/>
        <w:rPr>
          <w:rFonts w:hint="eastAsia"/>
          <w:color w:val="auto"/>
          <w:lang w:val="en-US" w:eastAsia="zh-CN"/>
        </w:rPr>
      </w:pPr>
      <w:r>
        <w:rPr>
          <w:rFonts w:hint="eastAsia"/>
          <w:color w:val="auto"/>
          <w:lang w:val="en-US" w:eastAsia="zh-CN"/>
        </w:rPr>
        <w:t>本着“先保护后开发，边保护边开发”以及考虑生态环境效益的综合经济效益最大化原则，施工期和营运期的生态恢复措施主要应考虑用绿化带修复。根据矿区的气候、土壤、水温、地形等方面的自然生态条件综合考虑其在生态修复中的功能，做出合理的安排。重点应包括改善水保设施和废矿石场、矿山堆场的植被重建。</w:t>
      </w:r>
    </w:p>
    <w:p>
      <w:pPr>
        <w:pStyle w:val="2"/>
        <w:ind w:firstLine="480" w:firstLineChars="200"/>
        <w:rPr>
          <w:rFonts w:hint="eastAsia" w:ascii="宋体" w:hAnsi="宋体" w:cs="宋体"/>
          <w:snapToGrid w:val="0"/>
          <w:color w:val="000000"/>
          <w:sz w:val="24"/>
        </w:rPr>
      </w:pPr>
      <w:r>
        <w:rPr>
          <w:rFonts w:hint="eastAsia" w:ascii="宋体" w:hAnsi="宋体" w:cs="宋体"/>
          <w:snapToGrid w:val="0"/>
          <w:color w:val="000000"/>
          <w:sz w:val="24"/>
        </w:rPr>
        <w:t>项目采场工业场地应搞好绿化、道路和绿化景观设计施工，重点防治大气和噪声污染。拟选择多层复合结构的绿化体系，乔、灌、草结合，可实施混种和复合种植方式，设置绿化防护带，并注重视觉效果。</w:t>
      </w:r>
    </w:p>
    <w:p>
      <w:pPr>
        <w:rPr>
          <w:rFonts w:hint="eastAsia"/>
          <w:color w:val="FF0000"/>
          <w:lang w:val="en-US" w:eastAsia="zh-CN"/>
        </w:rPr>
      </w:pPr>
      <w:r>
        <w:rPr>
          <w:rFonts w:hint="eastAsia"/>
          <w:color w:val="000000"/>
          <w:sz w:val="24"/>
        </w:rPr>
        <w:t>服务期满后，工业场地、运输道路等的土地适宜性较差，但地形相对较好，与周边地形地貌也较为协调。考虑到周围大多数为山林地，因此，建议对工业场地、废（矿）石堆场、运输道路等场地内的建（构）筑物进行拆除，并进行场地</w:t>
      </w:r>
    </w:p>
    <w:p>
      <w:pPr>
        <w:tabs>
          <w:tab w:val="left" w:pos="0"/>
        </w:tabs>
        <w:spacing w:line="360" w:lineRule="auto"/>
        <w:ind w:firstLine="480" w:firstLineChars="200"/>
        <w:rPr>
          <w:color w:val="000000"/>
          <w:kern w:val="0"/>
          <w:sz w:val="24"/>
        </w:rPr>
      </w:pPr>
      <w:r>
        <w:rPr>
          <w:rFonts w:hint="eastAsia"/>
          <w:color w:val="auto"/>
          <w:lang w:val="en-US" w:eastAsia="zh-CN"/>
        </w:rPr>
        <w:t>水土保持措施有：</w:t>
      </w:r>
      <w:r>
        <w:rPr>
          <w:rFonts w:hAnsi="宋体"/>
          <w:color w:val="auto"/>
          <w:kern w:val="0"/>
          <w:sz w:val="24"/>
        </w:rPr>
        <w:t>在</w:t>
      </w:r>
      <w:r>
        <w:rPr>
          <w:rFonts w:hAnsi="宋体"/>
          <w:color w:val="000000"/>
          <w:kern w:val="0"/>
          <w:sz w:val="24"/>
        </w:rPr>
        <w:t>开采过程中，应对矿区巷道部分破碎地带进行支护，加强观测；开采期间应加强监测，随时进行地压监测与管理，可布置若干水文孔，定期观测其变化，以便研究矿体覆岩破坏规律；在地表设若干条观测线，定期观测地表移动规律，研究矿体开采与地表移动的关系；本矿错动区范围内基本上都是灌木林地，植被良好，错动区四周的来水坡地面积较小，其中Ⅳ号矿体采空区面积最大，但其坡面集水面积最小，因此不采取截排水措施。</w:t>
      </w:r>
    </w:p>
    <w:p>
      <w:pPr>
        <w:tabs>
          <w:tab w:val="left" w:pos="0"/>
        </w:tabs>
        <w:spacing w:line="360" w:lineRule="auto"/>
        <w:ind w:firstLine="480" w:firstLineChars="200"/>
        <w:rPr>
          <w:rFonts w:hint="eastAsia"/>
          <w:color w:val="FF0000"/>
          <w:lang w:val="en-US" w:eastAsia="zh-CN"/>
        </w:rPr>
      </w:pPr>
      <w:r>
        <w:rPr>
          <w:rFonts w:hAnsi="宋体"/>
          <w:color w:val="000000"/>
          <w:kern w:val="0"/>
          <w:sz w:val="24"/>
        </w:rPr>
        <w:t>如发生地表塌陷，应在地面塌陷产生凹陷区后进行平整、削坡、回填，对地面沉降产生的裂隙采用土石充填，部分地段进行削坡处理和工程加固处理。</w:t>
      </w:r>
    </w:p>
    <w:p>
      <w:pPr>
        <w:rPr>
          <w:rFonts w:hint="eastAsia"/>
          <w:color w:val="auto"/>
          <w:lang w:val="en-US" w:eastAsia="zh-CN"/>
        </w:rPr>
      </w:pPr>
      <w:r>
        <w:rPr>
          <w:rFonts w:hint="eastAsia"/>
          <w:color w:val="auto"/>
          <w:lang w:val="en-US" w:eastAsia="zh-CN"/>
        </w:rPr>
        <w:t>2、环评批复要求</w:t>
      </w:r>
    </w:p>
    <w:p>
      <w:pPr>
        <w:ind w:firstLine="480" w:firstLineChars="200"/>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立即采取措施，对原矿山遗留的废石堆场进行清理和处置，废石用于回填矿山采空区，</w:t>
      </w:r>
      <w:r>
        <w:rPr>
          <w:rFonts w:hint="eastAsia" w:cs="Times New Roman"/>
          <w:b w:val="0"/>
          <w:bCs w:val="0"/>
          <w:sz w:val="24"/>
          <w:szCs w:val="24"/>
          <w:lang w:val="en-US" w:eastAsia="zh-CN"/>
        </w:rPr>
        <w:t>结合矿产资源开发利用方案和开采设计，合理充填矿山采空区，</w:t>
      </w:r>
      <w:r>
        <w:rPr>
          <w:rFonts w:hint="eastAsia" w:ascii="Times New Roman" w:hAnsi="Times New Roman" w:cs="Times New Roman"/>
          <w:b w:val="0"/>
          <w:bCs w:val="0"/>
          <w:sz w:val="24"/>
          <w:szCs w:val="24"/>
          <w:lang w:val="en-US" w:eastAsia="zh-CN"/>
        </w:rPr>
        <w:t>并对废石堆场区域进行生态恢复，落实水土保持措施。</w:t>
      </w:r>
    </w:p>
    <w:p>
      <w:pPr>
        <w:numPr>
          <w:ilvl w:val="0"/>
          <w:numId w:val="0"/>
        </w:numPr>
        <w:spacing w:line="360" w:lineRule="auto"/>
        <w:ind w:firstLine="480" w:firstLineChars="20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工程要针对项目所在区域环境特征，制定生态恢复计划，对矿石和废石临时堆场、工业场地等及时进行综合生态治理和恢复，加强影响区地表形态变化观测，及时做好矿山开采引起的地表错动治理，生态修复及地表错动区综合治理应纳入工程设计中，土地复垦和生态恢复所需资金由建设单位负责解决。</w:t>
      </w:r>
    </w:p>
    <w:p>
      <w:pPr>
        <w:ind w:firstLine="480" w:firstLineChars="200"/>
      </w:pPr>
      <w:r>
        <w:rPr>
          <w:rFonts w:hint="eastAsia" w:ascii="Times New Roman" w:hAnsi="Times New Roman" w:cs="Times New Roman"/>
          <w:b w:val="0"/>
          <w:bCs w:val="0"/>
          <w:sz w:val="24"/>
          <w:szCs w:val="24"/>
          <w:lang w:val="en-US" w:eastAsia="zh-CN"/>
        </w:rPr>
        <w:t>项目应及时做好废石回填采空区工作，严格控制临时矿石堆场堆置量和面积，生产全过程产生的废石应不出井并全部回填采空区，不得外排。本项目矿石经池州市世源矿业发展有限公司选矿加工后产生的尾砂应运回，用于本项目矿山开采形成的采空区充填。</w:t>
      </w:r>
    </w:p>
    <w:p>
      <w:pPr>
        <w:ind w:firstLine="480" w:firstLineChars="200"/>
        <w:rPr>
          <w:rFonts w:hint="eastAsia"/>
          <w:lang w:val="en-US" w:eastAsia="zh-CN"/>
        </w:rPr>
      </w:pPr>
      <w:r>
        <w:rPr>
          <w:rFonts w:hint="eastAsia" w:ascii="Times New Roman" w:hAnsi="Times New Roman" w:cs="Times New Roman"/>
          <w:b w:val="0"/>
          <w:bCs w:val="0"/>
          <w:sz w:val="24"/>
          <w:szCs w:val="24"/>
          <w:lang w:val="en-US" w:eastAsia="zh-CN"/>
        </w:rPr>
        <w:t>落实批准的水土保持方案，加强施工期的环境管理，合理组织施工，落实水土保持、生态保护和污染物防治措施，严格控制环境影响；服务期满后，及时拆除建构筑物，并落实矿（废）石临时堆场、工业场地、运输道路等的生态恢复措施。项目建设期间应开展环境监理工作。</w:t>
      </w:r>
    </w:p>
    <w:p>
      <w:pPr>
        <w:pStyle w:val="5"/>
        <w:rPr>
          <w:rFonts w:hint="eastAsia"/>
          <w:color w:val="auto"/>
          <w:lang w:val="en-US" w:eastAsia="zh-CN"/>
        </w:rPr>
      </w:pPr>
      <w:r>
        <w:rPr>
          <w:rFonts w:hint="eastAsia"/>
          <w:color w:val="auto"/>
          <w:lang w:val="en-US" w:eastAsia="zh-CN"/>
        </w:rPr>
        <w:t>6.2.3落实情况</w:t>
      </w:r>
    </w:p>
    <w:p>
      <w:pPr>
        <w:tabs>
          <w:tab w:val="left" w:pos="0"/>
        </w:tabs>
        <w:spacing w:line="360" w:lineRule="auto"/>
        <w:ind w:firstLine="482" w:firstLineChars="200"/>
        <w:rPr>
          <w:rFonts w:hint="default" w:ascii="Times New Roman" w:hAnsi="Times New Roman" w:cs="Times New Roman"/>
          <w:b/>
          <w:bCs/>
          <w:color w:val="000000"/>
          <w:sz w:val="24"/>
          <w:szCs w:val="24"/>
          <w:lang w:val="en-US" w:eastAsia="zh-CN"/>
        </w:rPr>
      </w:pPr>
      <w:r>
        <w:rPr>
          <w:rFonts w:hint="default" w:ascii="Times New Roman" w:hAnsi="Times New Roman" w:eastAsia="宋体" w:cs="Times New Roman"/>
          <w:b/>
          <w:bCs/>
          <w:color w:val="000000"/>
          <w:sz w:val="24"/>
          <w:szCs w:val="24"/>
        </w:rPr>
        <w:t>水土保持</w:t>
      </w:r>
      <w:r>
        <w:rPr>
          <w:rFonts w:hint="default" w:ascii="Times New Roman" w:hAnsi="Times New Roman" w:cs="Times New Roman"/>
          <w:b/>
          <w:bCs/>
          <w:color w:val="000000"/>
          <w:sz w:val="24"/>
          <w:szCs w:val="24"/>
          <w:lang w:val="en-US" w:eastAsia="zh-CN"/>
        </w:rPr>
        <w:t>措施：</w:t>
      </w:r>
    </w:p>
    <w:p>
      <w:pPr>
        <w:tabs>
          <w:tab w:val="left" w:pos="0"/>
        </w:tabs>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1.预防措施</w:t>
      </w:r>
    </w:p>
    <w:p>
      <w:pPr>
        <w:tabs>
          <w:tab w:val="left" w:pos="0"/>
        </w:tabs>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加强土地和的保护；规范施工；加强管理、监测。</w:t>
      </w:r>
    </w:p>
    <w:p>
      <w:pPr>
        <w:tabs>
          <w:tab w:val="left" w:pos="0"/>
        </w:tabs>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2.临时措施</w:t>
      </w:r>
    </w:p>
    <w:p>
      <w:pPr>
        <w:tabs>
          <w:tab w:val="left" w:pos="0"/>
        </w:tabs>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临时防护工程主要是临时拦挡和临时排水工程，临时堆土和集中弃土的临时防护；开挖面和填筑面未防护前的临时防护；建筑和生活垃圾的临时防护。</w:t>
      </w:r>
    </w:p>
    <w:p>
      <w:pPr>
        <w:tabs>
          <w:tab w:val="left" w:pos="0"/>
        </w:tabs>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3.治理措施</w:t>
      </w:r>
    </w:p>
    <w:p>
      <w:pPr>
        <w:tabs>
          <w:tab w:val="left" w:pos="0"/>
        </w:tabs>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项目</w:t>
      </w:r>
      <w:r>
        <w:rPr>
          <w:rFonts w:hint="default" w:ascii="Times New Roman" w:hAnsi="Times New Roman" w:cs="Times New Roman"/>
          <w:color w:val="000000"/>
          <w:kern w:val="0"/>
          <w:sz w:val="24"/>
          <w:lang w:val="en-US" w:eastAsia="zh-CN"/>
        </w:rPr>
        <w:t>原</w:t>
      </w:r>
      <w:r>
        <w:rPr>
          <w:rFonts w:hint="default" w:ascii="Times New Roman" w:hAnsi="Times New Roman" w:cs="Times New Roman"/>
          <w:color w:val="000000"/>
          <w:kern w:val="0"/>
          <w:sz w:val="24"/>
        </w:rPr>
        <w:t>废石堆场位于坡面，堆渣易发生滑塌和流失，设计采用浆砌石挡渣墙防护。</w:t>
      </w:r>
    </w:p>
    <w:p>
      <w:pPr>
        <w:pStyle w:val="2"/>
        <w:ind w:firstLine="480" w:firstLineChars="200"/>
        <w:rPr>
          <w:rFonts w:hint="eastAsia" w:eastAsia="宋体"/>
          <w:lang w:val="en-US" w:eastAsia="zh-CN"/>
        </w:rPr>
      </w:pPr>
      <w:r>
        <w:rPr>
          <w:rFonts w:hint="eastAsia" w:cs="Times New Roman"/>
          <w:color w:val="000000"/>
          <w:kern w:val="0"/>
          <w:sz w:val="24"/>
          <w:lang w:val="en-US" w:eastAsia="zh-CN"/>
        </w:rPr>
        <w:t>项目施工期废矿石已全部回填至采空区，世源矿业选矿尾矿砂也全部运回填充采空区。</w:t>
      </w:r>
    </w:p>
    <w:p>
      <w:pPr>
        <w:tabs>
          <w:tab w:val="left" w:pos="0"/>
        </w:tabs>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工业场地内矿石堆场边坡的挡土墙工程，道路边坡的植物防护工程。</w:t>
      </w:r>
    </w:p>
    <w:p>
      <w:pPr>
        <w:tabs>
          <w:tab w:val="left" w:pos="0"/>
        </w:tabs>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对裸露的弃渣场、工业场地区进行覆土整治，有利于植被恢复；工业场地和废石堆场土地整治前实施的场地平整，也列入土地整治工程。</w:t>
      </w:r>
    </w:p>
    <w:p>
      <w:pPr>
        <w:tabs>
          <w:tab w:val="left" w:pos="0"/>
        </w:tabs>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废石场排水沟（沉沙池）工程、工业场地和</w:t>
      </w:r>
      <w:r>
        <w:rPr>
          <w:rFonts w:hint="eastAsia" w:cs="Times New Roman"/>
          <w:color w:val="000000"/>
          <w:kern w:val="0"/>
          <w:sz w:val="24"/>
          <w:lang w:eastAsia="zh-CN"/>
        </w:rPr>
        <w:t>原</w:t>
      </w:r>
      <w:r>
        <w:rPr>
          <w:rFonts w:hint="default" w:ascii="Times New Roman" w:hAnsi="Times New Roman" w:cs="Times New Roman"/>
          <w:color w:val="000000"/>
          <w:kern w:val="0"/>
          <w:sz w:val="24"/>
        </w:rPr>
        <w:t xml:space="preserve">废石堆场等坡面上方设置的截水沟工程等，用于排出场地集水、拦截坡面洪水，防止对建设区的冲刷。 </w:t>
      </w:r>
    </w:p>
    <w:p>
      <w:pPr>
        <w:pStyle w:val="2"/>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对裸露的废石堆场、工业场地进行植被恢复，对可能的塌陷区在治理后恢复其被破坏的植被。</w:t>
      </w:r>
    </w:p>
    <w:p>
      <w:pPr>
        <w:pStyle w:val="2"/>
        <w:ind w:firstLine="422" w:firstLineChars="200"/>
        <w:jc w:val="center"/>
        <w:rPr>
          <w:rFonts w:hint="eastAsia" w:ascii="Times New Roman" w:hAnsi="Times New Roman" w:eastAsia="宋体" w:cs="Times New Roman"/>
          <w:color w:val="000000"/>
          <w:kern w:val="0"/>
          <w:sz w:val="24"/>
          <w:lang w:val="en-US" w:eastAsia="zh-CN"/>
        </w:rPr>
      </w:pPr>
      <w:r>
        <w:rPr>
          <w:rFonts w:hint="eastAsia" w:cs="Times New Roman"/>
          <w:b/>
          <w:bCs/>
          <w:color w:val="000000"/>
          <w:kern w:val="0"/>
          <w:sz w:val="21"/>
          <w:szCs w:val="21"/>
          <w:lang w:eastAsia="zh-CN"/>
        </w:rPr>
        <w:t>表</w:t>
      </w:r>
      <w:r>
        <w:rPr>
          <w:rFonts w:hint="eastAsia" w:cs="Times New Roman"/>
          <w:b/>
          <w:bCs/>
          <w:color w:val="000000"/>
          <w:kern w:val="0"/>
          <w:sz w:val="21"/>
          <w:szCs w:val="21"/>
          <w:lang w:val="en-US" w:eastAsia="zh-CN"/>
        </w:rPr>
        <w:t>6.2-1 水土保持工程内容</w:t>
      </w:r>
    </w:p>
    <w:tbl>
      <w:tblPr>
        <w:tblStyle w:val="17"/>
        <w:tblW w:w="8957" w:type="dxa"/>
        <w:jc w:val="center"/>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5"/>
        <w:gridCol w:w="1590"/>
        <w:gridCol w:w="1365"/>
        <w:gridCol w:w="2310"/>
        <w:gridCol w:w="284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tcBorders>
              <w:tl2br w:val="nil"/>
              <w:tr2bl w:val="nil"/>
            </w:tcBorders>
            <w:vAlign w:val="center"/>
          </w:tcPr>
          <w:p>
            <w:pPr>
              <w:pStyle w:val="2"/>
              <w:spacing w:line="240" w:lineRule="auto"/>
              <w:jc w:val="center"/>
              <w:rPr>
                <w:rFonts w:hint="eastAsia" w:hAnsi="宋体"/>
                <w:b/>
                <w:bCs/>
                <w:color w:val="000000"/>
                <w:kern w:val="0"/>
                <w:sz w:val="21"/>
                <w:szCs w:val="21"/>
                <w:vertAlign w:val="baseline"/>
                <w:lang w:val="en-US" w:eastAsia="zh-CN"/>
              </w:rPr>
            </w:pPr>
            <w:r>
              <w:rPr>
                <w:rFonts w:hint="eastAsia" w:hAnsi="宋体"/>
                <w:b/>
                <w:bCs/>
                <w:color w:val="000000"/>
                <w:kern w:val="0"/>
                <w:sz w:val="21"/>
                <w:szCs w:val="21"/>
                <w:vertAlign w:val="baseline"/>
                <w:lang w:val="en-US" w:eastAsia="zh-CN"/>
              </w:rPr>
              <w:t>序号</w:t>
            </w:r>
          </w:p>
        </w:tc>
        <w:tc>
          <w:tcPr>
            <w:tcW w:w="1590" w:type="dxa"/>
            <w:tcBorders>
              <w:tl2br w:val="nil"/>
              <w:tr2bl w:val="nil"/>
            </w:tcBorders>
            <w:vAlign w:val="center"/>
          </w:tcPr>
          <w:p>
            <w:pPr>
              <w:pStyle w:val="2"/>
              <w:spacing w:line="240" w:lineRule="auto"/>
              <w:jc w:val="center"/>
              <w:rPr>
                <w:rFonts w:hint="eastAsia" w:hAnsi="宋体"/>
                <w:b/>
                <w:bCs/>
                <w:color w:val="000000"/>
                <w:kern w:val="0"/>
                <w:sz w:val="21"/>
                <w:szCs w:val="21"/>
                <w:vertAlign w:val="baseline"/>
                <w:lang w:val="en-US" w:eastAsia="zh-CN"/>
              </w:rPr>
            </w:pPr>
            <w:r>
              <w:rPr>
                <w:rFonts w:hint="eastAsia" w:hAnsi="宋体"/>
                <w:b/>
                <w:bCs/>
                <w:color w:val="000000"/>
                <w:kern w:val="0"/>
                <w:sz w:val="21"/>
                <w:szCs w:val="21"/>
                <w:vertAlign w:val="baseline"/>
                <w:lang w:val="en-US" w:eastAsia="zh-CN"/>
              </w:rPr>
              <w:t>建设区域</w:t>
            </w:r>
          </w:p>
        </w:tc>
        <w:tc>
          <w:tcPr>
            <w:tcW w:w="1365" w:type="dxa"/>
            <w:tcBorders>
              <w:tl2br w:val="nil"/>
              <w:tr2bl w:val="nil"/>
            </w:tcBorders>
            <w:vAlign w:val="center"/>
          </w:tcPr>
          <w:p>
            <w:pPr>
              <w:pStyle w:val="2"/>
              <w:spacing w:line="240" w:lineRule="auto"/>
              <w:jc w:val="center"/>
              <w:rPr>
                <w:rFonts w:hint="eastAsia" w:hAnsi="宋体"/>
                <w:b/>
                <w:bCs/>
                <w:color w:val="000000"/>
                <w:kern w:val="0"/>
                <w:sz w:val="21"/>
                <w:szCs w:val="21"/>
                <w:vertAlign w:val="baseline"/>
                <w:lang w:val="en-US" w:eastAsia="zh-CN"/>
              </w:rPr>
            </w:pPr>
            <w:r>
              <w:rPr>
                <w:rFonts w:hint="eastAsia" w:hAnsi="宋体"/>
                <w:b/>
                <w:bCs/>
                <w:color w:val="000000"/>
                <w:kern w:val="0"/>
                <w:sz w:val="21"/>
                <w:szCs w:val="21"/>
                <w:vertAlign w:val="baseline"/>
                <w:lang w:val="en-US" w:eastAsia="zh-CN"/>
              </w:rPr>
              <w:t>项目名称</w:t>
            </w:r>
          </w:p>
        </w:tc>
        <w:tc>
          <w:tcPr>
            <w:tcW w:w="2310" w:type="dxa"/>
            <w:tcBorders>
              <w:tl2br w:val="nil"/>
              <w:tr2bl w:val="nil"/>
            </w:tcBorders>
            <w:vAlign w:val="center"/>
          </w:tcPr>
          <w:p>
            <w:pPr>
              <w:pStyle w:val="2"/>
              <w:spacing w:line="240" w:lineRule="auto"/>
              <w:jc w:val="center"/>
              <w:rPr>
                <w:rFonts w:hint="eastAsia" w:hAnsi="宋体"/>
                <w:b/>
                <w:bCs/>
                <w:color w:val="000000"/>
                <w:kern w:val="0"/>
                <w:sz w:val="21"/>
                <w:szCs w:val="21"/>
                <w:vertAlign w:val="baseline"/>
                <w:lang w:val="en-US" w:eastAsia="zh-CN"/>
              </w:rPr>
            </w:pPr>
            <w:r>
              <w:rPr>
                <w:rFonts w:hint="eastAsia" w:hAnsi="宋体"/>
                <w:b/>
                <w:bCs/>
                <w:color w:val="000000"/>
                <w:kern w:val="0"/>
                <w:sz w:val="21"/>
                <w:szCs w:val="21"/>
                <w:vertAlign w:val="baseline"/>
                <w:lang w:val="en-US" w:eastAsia="zh-CN"/>
              </w:rPr>
              <w:t>防治措施</w:t>
            </w:r>
          </w:p>
        </w:tc>
        <w:tc>
          <w:tcPr>
            <w:tcW w:w="2847" w:type="dxa"/>
            <w:tcBorders>
              <w:tl2br w:val="nil"/>
              <w:tr2bl w:val="nil"/>
            </w:tcBorders>
            <w:vAlign w:val="center"/>
          </w:tcPr>
          <w:p>
            <w:pPr>
              <w:pStyle w:val="2"/>
              <w:spacing w:line="240" w:lineRule="auto"/>
              <w:jc w:val="center"/>
              <w:rPr>
                <w:rFonts w:hint="eastAsia" w:hAnsi="宋体"/>
                <w:b/>
                <w:bCs/>
                <w:color w:val="000000"/>
                <w:kern w:val="0"/>
                <w:sz w:val="21"/>
                <w:szCs w:val="21"/>
                <w:vertAlign w:val="baseline"/>
                <w:lang w:val="en-US" w:eastAsia="zh-CN"/>
              </w:rPr>
            </w:pPr>
            <w:r>
              <w:rPr>
                <w:rFonts w:hint="eastAsia" w:hAnsi="宋体"/>
                <w:b/>
                <w:bCs/>
                <w:color w:val="000000"/>
                <w:kern w:val="0"/>
                <w:sz w:val="21"/>
                <w:szCs w:val="21"/>
                <w:vertAlign w:val="baseline"/>
                <w:lang w:val="en-US" w:eastAsia="zh-CN"/>
              </w:rPr>
              <w:t>工程量</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vMerge w:val="restart"/>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1</w:t>
            </w:r>
          </w:p>
        </w:tc>
        <w:tc>
          <w:tcPr>
            <w:tcW w:w="1590" w:type="dxa"/>
            <w:vMerge w:val="restart"/>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工业场地</w:t>
            </w:r>
          </w:p>
        </w:tc>
        <w:tc>
          <w:tcPr>
            <w:tcW w:w="1365" w:type="dxa"/>
            <w:vMerge w:val="restart"/>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工程措施</w:t>
            </w:r>
          </w:p>
        </w:tc>
        <w:tc>
          <w:tcPr>
            <w:tcW w:w="2310" w:type="dxa"/>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挡渣墙工程</w:t>
            </w:r>
          </w:p>
        </w:tc>
        <w:tc>
          <w:tcPr>
            <w:tcW w:w="2847" w:type="dxa"/>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浆砌石1435m</w:t>
            </w:r>
            <w:r>
              <w:rPr>
                <w:rFonts w:hint="eastAsia" w:hAnsi="宋体"/>
                <w:color w:val="000000"/>
                <w:kern w:val="0"/>
                <w:sz w:val="21"/>
                <w:szCs w:val="21"/>
                <w:vertAlign w:val="superscript"/>
                <w:lang w:val="en-US" w:eastAsia="zh-CN"/>
              </w:rPr>
              <w:t>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590"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36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2310" w:type="dxa"/>
            <w:vMerge w:val="restart"/>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沉淀池</w:t>
            </w:r>
          </w:p>
        </w:tc>
        <w:tc>
          <w:tcPr>
            <w:tcW w:w="2847" w:type="dxa"/>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土方240m</w:t>
            </w:r>
            <w:r>
              <w:rPr>
                <w:rFonts w:hint="eastAsia" w:hAnsi="宋体"/>
                <w:color w:val="000000"/>
                <w:kern w:val="0"/>
                <w:sz w:val="21"/>
                <w:szCs w:val="21"/>
                <w:vertAlign w:val="superscript"/>
                <w:lang w:val="en-US" w:eastAsia="zh-CN"/>
              </w:rPr>
              <w:t>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590"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36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2310" w:type="dxa"/>
            <w:vMerge w:val="continue"/>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p>
        </w:tc>
        <w:tc>
          <w:tcPr>
            <w:tcW w:w="2847" w:type="dxa"/>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浆砌石118m</w:t>
            </w:r>
            <w:r>
              <w:rPr>
                <w:rFonts w:hint="eastAsia" w:hAnsi="宋体"/>
                <w:color w:val="000000"/>
                <w:kern w:val="0"/>
                <w:sz w:val="21"/>
                <w:szCs w:val="21"/>
                <w:vertAlign w:val="superscript"/>
                <w:lang w:val="en-US" w:eastAsia="zh-CN"/>
              </w:rPr>
              <w:t>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590"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36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2310" w:type="dxa"/>
            <w:vMerge w:val="restart"/>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排水沟</w:t>
            </w:r>
          </w:p>
        </w:tc>
        <w:tc>
          <w:tcPr>
            <w:tcW w:w="2847" w:type="dxa"/>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土方397m</w:t>
            </w:r>
            <w:r>
              <w:rPr>
                <w:rFonts w:hint="eastAsia" w:hAnsi="宋体"/>
                <w:color w:val="000000"/>
                <w:kern w:val="0"/>
                <w:sz w:val="21"/>
                <w:szCs w:val="21"/>
                <w:vertAlign w:val="superscript"/>
                <w:lang w:val="en-US" w:eastAsia="zh-CN"/>
              </w:rPr>
              <w:t>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590"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36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2310" w:type="dxa"/>
            <w:vMerge w:val="continue"/>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p>
        </w:tc>
        <w:tc>
          <w:tcPr>
            <w:tcW w:w="2847" w:type="dxa"/>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浆砌石118m</w:t>
            </w:r>
            <w:r>
              <w:rPr>
                <w:rFonts w:hint="eastAsia" w:hAnsi="宋体"/>
                <w:color w:val="000000"/>
                <w:kern w:val="0"/>
                <w:sz w:val="21"/>
                <w:szCs w:val="21"/>
                <w:vertAlign w:val="superscript"/>
                <w:lang w:val="en-US" w:eastAsia="zh-CN"/>
              </w:rPr>
              <w:t>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vMerge w:val="restart"/>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2</w:t>
            </w:r>
          </w:p>
        </w:tc>
        <w:tc>
          <w:tcPr>
            <w:tcW w:w="1590" w:type="dxa"/>
            <w:vMerge w:val="restart"/>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废石堆场</w:t>
            </w:r>
          </w:p>
        </w:tc>
        <w:tc>
          <w:tcPr>
            <w:tcW w:w="1365" w:type="dxa"/>
            <w:vMerge w:val="restart"/>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工程措施</w:t>
            </w:r>
          </w:p>
        </w:tc>
        <w:tc>
          <w:tcPr>
            <w:tcW w:w="2310" w:type="dxa"/>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闭坑场地平整</w:t>
            </w:r>
          </w:p>
        </w:tc>
        <w:tc>
          <w:tcPr>
            <w:tcW w:w="2847" w:type="dxa"/>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16710m</w:t>
            </w:r>
            <w:r>
              <w:rPr>
                <w:rFonts w:hint="eastAsia" w:hAnsi="宋体"/>
                <w:color w:val="000000"/>
                <w:kern w:val="0"/>
                <w:sz w:val="21"/>
                <w:szCs w:val="21"/>
                <w:vertAlign w:val="superscript"/>
                <w:lang w:val="en-US" w:eastAsia="zh-CN"/>
              </w:rPr>
              <w:t>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590"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36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2310" w:type="dxa"/>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场地整治覆土</w:t>
            </w:r>
          </w:p>
        </w:tc>
        <w:tc>
          <w:tcPr>
            <w:tcW w:w="2847" w:type="dxa"/>
            <w:tcBorders>
              <w:tl2br w:val="nil"/>
              <w:tr2bl w:val="nil"/>
            </w:tcBorders>
            <w:vAlign w:val="center"/>
          </w:tcPr>
          <w:p>
            <w:pPr>
              <w:pStyle w:val="2"/>
              <w:spacing w:line="240" w:lineRule="auto"/>
              <w:jc w:val="center"/>
              <w:rPr>
                <w:rFonts w:hint="eastAsia" w:hAnsi="宋体"/>
                <w:color w:val="000000"/>
                <w:kern w:val="0"/>
                <w:sz w:val="21"/>
                <w:szCs w:val="21"/>
                <w:vertAlign w:val="superscript"/>
                <w:lang w:val="en-US" w:eastAsia="zh-CN"/>
              </w:rPr>
            </w:pPr>
            <w:r>
              <w:rPr>
                <w:rFonts w:hint="eastAsia" w:hAnsi="宋体"/>
                <w:color w:val="000000"/>
                <w:kern w:val="0"/>
                <w:sz w:val="21"/>
                <w:szCs w:val="21"/>
                <w:vertAlign w:val="baseline"/>
                <w:lang w:val="en-US" w:eastAsia="zh-CN"/>
              </w:rPr>
              <w:t>5013m</w:t>
            </w:r>
            <w:r>
              <w:rPr>
                <w:rFonts w:hint="eastAsia" w:hAnsi="宋体"/>
                <w:color w:val="000000"/>
                <w:kern w:val="0"/>
                <w:sz w:val="21"/>
                <w:szCs w:val="21"/>
                <w:vertAlign w:val="superscript"/>
                <w:lang w:val="en-US" w:eastAsia="zh-CN"/>
              </w:rPr>
              <w:t>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590"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365" w:type="dxa"/>
            <w:vMerge w:val="restart"/>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植物措施</w:t>
            </w:r>
          </w:p>
        </w:tc>
        <w:tc>
          <w:tcPr>
            <w:tcW w:w="2310" w:type="dxa"/>
            <w:vMerge w:val="restart"/>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场地植被恢复</w:t>
            </w:r>
          </w:p>
        </w:tc>
        <w:tc>
          <w:tcPr>
            <w:tcW w:w="2847" w:type="dxa"/>
            <w:tcBorders>
              <w:tl2br w:val="nil"/>
              <w:tr2bl w:val="nil"/>
            </w:tcBorders>
            <w:vAlign w:val="center"/>
          </w:tcPr>
          <w:p>
            <w:pPr>
              <w:pStyle w:val="2"/>
              <w:spacing w:line="240" w:lineRule="auto"/>
              <w:jc w:val="center"/>
              <w:rPr>
                <w:rFonts w:hint="eastAsia" w:hAnsi="宋体"/>
                <w:color w:val="000000"/>
                <w:kern w:val="0"/>
                <w:sz w:val="21"/>
                <w:szCs w:val="21"/>
                <w:vertAlign w:val="superscript"/>
                <w:lang w:val="en-US" w:eastAsia="zh-CN"/>
              </w:rPr>
            </w:pPr>
            <w:r>
              <w:rPr>
                <w:rFonts w:hint="eastAsia" w:hAnsi="宋体"/>
                <w:color w:val="000000"/>
                <w:kern w:val="0"/>
                <w:sz w:val="21"/>
                <w:szCs w:val="21"/>
                <w:vertAlign w:val="baseline"/>
                <w:lang w:val="en-US" w:eastAsia="zh-CN"/>
              </w:rPr>
              <w:t>种草1000m</w:t>
            </w:r>
            <w:r>
              <w:rPr>
                <w:rFonts w:hint="eastAsia" w:hAnsi="宋体"/>
                <w:color w:val="000000"/>
                <w:kern w:val="0"/>
                <w:sz w:val="21"/>
                <w:szCs w:val="21"/>
                <w:vertAlign w:val="superscript"/>
                <w:lang w:val="en-US" w:eastAsia="zh-CN"/>
              </w:rPr>
              <w:t>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590"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36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2310" w:type="dxa"/>
            <w:vMerge w:val="continue"/>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p>
        </w:tc>
        <w:tc>
          <w:tcPr>
            <w:tcW w:w="2847" w:type="dxa"/>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种藤本植物80株</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vMerge w:val="restart"/>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3</w:t>
            </w:r>
          </w:p>
        </w:tc>
        <w:tc>
          <w:tcPr>
            <w:tcW w:w="1590" w:type="dxa"/>
            <w:vMerge w:val="restart"/>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矿区道路</w:t>
            </w:r>
          </w:p>
        </w:tc>
        <w:tc>
          <w:tcPr>
            <w:tcW w:w="1365" w:type="dxa"/>
            <w:vMerge w:val="restart"/>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植物措施</w:t>
            </w:r>
          </w:p>
        </w:tc>
        <w:tc>
          <w:tcPr>
            <w:tcW w:w="2310" w:type="dxa"/>
            <w:vMerge w:val="restart"/>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栽植行道树</w:t>
            </w:r>
          </w:p>
        </w:tc>
        <w:tc>
          <w:tcPr>
            <w:tcW w:w="2847" w:type="dxa"/>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种植乔木440株</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590"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1365" w:type="dxa"/>
            <w:vMerge w:val="continue"/>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p>
        </w:tc>
        <w:tc>
          <w:tcPr>
            <w:tcW w:w="2310" w:type="dxa"/>
            <w:vMerge w:val="continue"/>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p>
        </w:tc>
        <w:tc>
          <w:tcPr>
            <w:tcW w:w="2847" w:type="dxa"/>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种草550m</w:t>
            </w:r>
            <w:r>
              <w:rPr>
                <w:rFonts w:hint="eastAsia" w:hAnsi="宋体"/>
                <w:color w:val="000000"/>
                <w:kern w:val="0"/>
                <w:sz w:val="21"/>
                <w:szCs w:val="21"/>
                <w:vertAlign w:val="superscript"/>
                <w:lang w:val="en-US" w:eastAsia="zh-CN"/>
              </w:rPr>
              <w:t>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5" w:type="dxa"/>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4</w:t>
            </w:r>
          </w:p>
        </w:tc>
        <w:tc>
          <w:tcPr>
            <w:tcW w:w="1590" w:type="dxa"/>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地表错动区</w:t>
            </w:r>
          </w:p>
        </w:tc>
        <w:tc>
          <w:tcPr>
            <w:tcW w:w="1365" w:type="dxa"/>
            <w:tcBorders>
              <w:tl2br w:val="nil"/>
              <w:tr2bl w:val="nil"/>
            </w:tcBorders>
            <w:vAlign w:val="center"/>
          </w:tcPr>
          <w:p>
            <w:pPr>
              <w:pStyle w:val="2"/>
              <w:spacing w:line="240" w:lineRule="auto"/>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工程措施</w:t>
            </w:r>
          </w:p>
        </w:tc>
        <w:tc>
          <w:tcPr>
            <w:tcW w:w="2310" w:type="dxa"/>
            <w:tcBorders>
              <w:tl2br w:val="nil"/>
              <w:tr2bl w:val="nil"/>
            </w:tcBorders>
            <w:vAlign w:val="center"/>
          </w:tcPr>
          <w:p>
            <w:pPr>
              <w:pStyle w:val="2"/>
              <w:spacing w:line="240" w:lineRule="auto"/>
              <w:ind w:firstLine="0" w:firstLineChars="0"/>
              <w:jc w:val="center"/>
              <w:rPr>
                <w:rFonts w:hint="eastAsia" w:hAnsi="宋体"/>
                <w:color w:val="000000"/>
                <w:kern w:val="0"/>
                <w:sz w:val="21"/>
                <w:szCs w:val="21"/>
                <w:vertAlign w:val="baseline"/>
                <w:lang w:val="en-US" w:eastAsia="zh-CN"/>
              </w:rPr>
            </w:pPr>
            <w:r>
              <w:rPr>
                <w:rFonts w:hint="eastAsia" w:hAnsi="宋体"/>
                <w:color w:val="000000"/>
                <w:kern w:val="0"/>
                <w:sz w:val="21"/>
                <w:szCs w:val="21"/>
                <w:vertAlign w:val="baseline"/>
                <w:lang w:val="en-US" w:eastAsia="zh-CN"/>
              </w:rPr>
              <w:t>地面变形治理</w:t>
            </w:r>
          </w:p>
        </w:tc>
        <w:tc>
          <w:tcPr>
            <w:tcW w:w="2847" w:type="dxa"/>
            <w:tcBorders>
              <w:tl2br w:val="nil"/>
              <w:tr2bl w:val="nil"/>
            </w:tcBorders>
            <w:vAlign w:val="center"/>
          </w:tcPr>
          <w:p>
            <w:pPr>
              <w:pStyle w:val="2"/>
              <w:spacing w:line="240" w:lineRule="auto"/>
              <w:jc w:val="center"/>
              <w:rPr>
                <w:rFonts w:hint="eastAsia" w:hAnsi="宋体"/>
                <w:color w:val="000000"/>
                <w:kern w:val="0"/>
                <w:sz w:val="21"/>
                <w:szCs w:val="21"/>
                <w:vertAlign w:val="superscript"/>
                <w:lang w:val="en-US" w:eastAsia="zh-CN"/>
              </w:rPr>
            </w:pPr>
            <w:r>
              <w:rPr>
                <w:rFonts w:hint="eastAsia" w:hAnsi="宋体"/>
                <w:color w:val="000000"/>
                <w:kern w:val="0"/>
                <w:sz w:val="21"/>
                <w:szCs w:val="21"/>
                <w:vertAlign w:val="baseline"/>
                <w:lang w:val="en-US" w:eastAsia="zh-CN"/>
              </w:rPr>
              <w:t>土石方7650m</w:t>
            </w:r>
            <w:r>
              <w:rPr>
                <w:rFonts w:hint="eastAsia" w:hAnsi="宋体"/>
                <w:color w:val="000000"/>
                <w:kern w:val="0"/>
                <w:sz w:val="21"/>
                <w:szCs w:val="21"/>
                <w:vertAlign w:val="superscript"/>
                <w:lang w:val="en-US" w:eastAsia="zh-CN"/>
              </w:rPr>
              <w:t>3</w:t>
            </w:r>
          </w:p>
        </w:tc>
      </w:tr>
    </w:tbl>
    <w:p>
      <w:pPr>
        <w:pStyle w:val="2"/>
        <w:ind w:firstLine="482" w:firstLineChars="200"/>
        <w:rPr>
          <w:rFonts w:hint="eastAsia"/>
          <w:b/>
          <w:bCs/>
          <w:color w:val="auto"/>
          <w:lang w:val="en-US" w:eastAsia="zh-CN"/>
        </w:rPr>
      </w:pPr>
      <w:r>
        <w:rPr>
          <w:rFonts w:hint="eastAsia" w:hAnsi="宋体"/>
          <w:b/>
          <w:bCs/>
          <w:color w:val="000000"/>
          <w:kern w:val="0"/>
          <w:sz w:val="24"/>
          <w:lang w:val="en-US" w:eastAsia="zh-CN"/>
        </w:rPr>
        <w:t>生态恢复措施：</w:t>
      </w:r>
    </w:p>
    <w:p>
      <w:pPr>
        <w:ind w:firstLine="480" w:firstLineChars="200"/>
        <w:rPr>
          <w:rFonts w:hint="eastAsia"/>
          <w:color w:val="auto"/>
          <w:lang w:val="en-US" w:eastAsia="zh-CN"/>
        </w:rPr>
      </w:pPr>
      <w:r>
        <w:rPr>
          <w:rFonts w:hint="eastAsia"/>
          <w:color w:val="auto"/>
          <w:lang w:val="en-US" w:eastAsia="zh-CN"/>
        </w:rPr>
        <w:t>1.</w:t>
      </w:r>
      <w:r>
        <w:rPr>
          <w:rFonts w:hint="eastAsia"/>
          <w:color w:val="auto"/>
          <w:sz w:val="24"/>
        </w:rPr>
        <w:t>对于原姚街铅锌矿斜井，矿方已进行了充填，并覆土绿化，复垦工程于2010年11月通过池州市安监局的验收。</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auto"/>
          <w:sz w:val="24"/>
          <w:szCs w:val="24"/>
          <w:vertAlign w:val="baseline"/>
          <w:lang w:val="en-US" w:eastAsia="zh-CN"/>
        </w:rPr>
      </w:pPr>
      <w:r>
        <w:rPr>
          <w:rFonts w:hint="eastAsia"/>
          <w:color w:val="auto"/>
          <w:sz w:val="24"/>
          <w:szCs w:val="24"/>
          <w:lang w:val="en-US" w:eastAsia="zh-CN"/>
        </w:rPr>
        <w:t>2.项目开工后，采取的生态保护措施有：撇洪沟1条，排水沟1条，沉沙池2个</w:t>
      </w:r>
      <w:r>
        <w:rPr>
          <w:rFonts w:hint="eastAsia" w:hAnsi="宋体"/>
          <w:color w:val="auto"/>
          <w:kern w:val="0"/>
          <w:sz w:val="24"/>
          <w:lang w:val="en-US"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auto"/>
          <w:sz w:val="24"/>
          <w:szCs w:val="24"/>
          <w:vertAlign w:val="baseline"/>
          <w:lang w:val="en-US" w:eastAsia="zh-CN"/>
        </w:rPr>
      </w:pPr>
      <w:r>
        <w:rPr>
          <w:rFonts w:hint="eastAsia"/>
          <w:color w:val="auto"/>
          <w:sz w:val="24"/>
          <w:szCs w:val="24"/>
          <w:vertAlign w:val="baseline"/>
          <w:lang w:val="en-US" w:eastAsia="zh-CN"/>
        </w:rPr>
        <w:t>3.采矿工业场地区在原废石堆场的坡脚处设置了较为完善的浆砌石挡墙、平洞口布设了完善的排水、沉沙措施以及对绿化区域采取了土地整治措施，并对废石堆场采取了覆土绿化，植草和播撒草籽，近期计划种植与环境相融合的树苗。</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color w:val="auto"/>
          <w:sz w:val="24"/>
          <w:szCs w:val="24"/>
          <w:vertAlign w:val="baseline"/>
          <w:lang w:val="en-US" w:eastAsia="zh-CN"/>
        </w:rPr>
      </w:pPr>
      <w:r>
        <w:rPr>
          <w:rFonts w:hint="eastAsia"/>
          <w:color w:val="auto"/>
          <w:sz w:val="24"/>
          <w:szCs w:val="24"/>
          <w:vertAlign w:val="baseline"/>
          <w:lang w:val="en-US" w:eastAsia="zh-CN"/>
        </w:rPr>
        <w:t>4.在道路一侧设置了排水沟、沉沙池措施，对需绿化区域采取了土地整治措施；并在道路两侧栽植了乔木以及植草和撒播草籽措施。</w:t>
      </w:r>
    </w:p>
    <w:p>
      <w:pPr>
        <w:pStyle w:val="2"/>
        <w:jc w:val="center"/>
        <w:rPr>
          <w:rFonts w:hint="eastAsia"/>
          <w:b/>
          <w:bCs/>
          <w:color w:val="000000"/>
          <w:sz w:val="21"/>
          <w:szCs w:val="21"/>
          <w:lang w:val="en-US" w:eastAsia="zh-CN"/>
        </w:rPr>
      </w:pPr>
      <w:r>
        <w:rPr>
          <w:color w:val="000000"/>
        </w:rPr>
        <w:drawing>
          <wp:inline distT="0" distB="0" distL="114300" distR="114300">
            <wp:extent cx="2562860" cy="2234565"/>
            <wp:effectExtent l="0" t="0" r="8890" b="13335"/>
            <wp:docPr id="152" name="图片 152" descr="1TH{G8(9O(%E37$XEC1BH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1TH{G8(9O(%E37$XEC1BHON"/>
                    <pic:cNvPicPr>
                      <a:picLocks noChangeAspect="1"/>
                    </pic:cNvPicPr>
                  </pic:nvPicPr>
                  <pic:blipFill>
                    <a:blip r:embed="rId30"/>
                    <a:stretch>
                      <a:fillRect/>
                    </a:stretch>
                  </pic:blipFill>
                  <pic:spPr>
                    <a:xfrm>
                      <a:off x="0" y="0"/>
                      <a:ext cx="2562860" cy="2234565"/>
                    </a:xfrm>
                    <a:prstGeom prst="rect">
                      <a:avLst/>
                    </a:prstGeom>
                  </pic:spPr>
                </pic:pic>
              </a:graphicData>
            </a:graphic>
          </wp:inline>
        </w:drawing>
      </w:r>
      <w:r>
        <w:rPr>
          <w:rFonts w:hint="eastAsia"/>
          <w:color w:val="000000"/>
          <w:lang w:val="en-US" w:eastAsia="zh-CN"/>
        </w:rPr>
        <w:t xml:space="preserve">  </w:t>
      </w:r>
      <w:r>
        <w:rPr>
          <w:rFonts w:hint="eastAsia"/>
          <w:b/>
          <w:bCs/>
          <w:color w:val="000000"/>
          <w:sz w:val="21"/>
          <w:szCs w:val="21"/>
          <w:lang w:val="en-US" w:eastAsia="zh-CN"/>
        </w:rPr>
        <w:drawing>
          <wp:inline distT="0" distB="0" distL="114300" distR="114300">
            <wp:extent cx="2414905" cy="2239010"/>
            <wp:effectExtent l="0" t="0" r="4445" b="8890"/>
            <wp:docPr id="153" name="图片 153" descr="888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8888888"/>
                    <pic:cNvPicPr>
                      <a:picLocks noChangeAspect="1"/>
                    </pic:cNvPicPr>
                  </pic:nvPicPr>
                  <pic:blipFill>
                    <a:blip r:embed="rId31"/>
                    <a:srcRect t="11301" b="32934"/>
                    <a:stretch>
                      <a:fillRect/>
                    </a:stretch>
                  </pic:blipFill>
                  <pic:spPr>
                    <a:xfrm>
                      <a:off x="0" y="0"/>
                      <a:ext cx="2414905" cy="2239010"/>
                    </a:xfrm>
                    <a:prstGeom prst="rect">
                      <a:avLst/>
                    </a:prstGeom>
                  </pic:spPr>
                </pic:pic>
              </a:graphicData>
            </a:graphic>
          </wp:inline>
        </w:drawing>
      </w:r>
    </w:p>
    <w:p>
      <w:pPr>
        <w:pStyle w:val="2"/>
        <w:jc w:val="center"/>
        <w:rPr>
          <w:rFonts w:hint="eastAsia" w:eastAsia="宋体"/>
          <w:b/>
          <w:bCs/>
          <w:sz w:val="21"/>
          <w:szCs w:val="21"/>
          <w:lang w:val="en-US" w:eastAsia="zh-CN"/>
        </w:rPr>
      </w:pPr>
      <w:r>
        <w:rPr>
          <w:rFonts w:hint="eastAsia"/>
          <w:b/>
          <w:bCs/>
          <w:color w:val="000000"/>
          <w:sz w:val="21"/>
          <w:szCs w:val="21"/>
          <w:lang w:eastAsia="zh-CN"/>
        </w:rPr>
        <w:t>图</w:t>
      </w:r>
      <w:r>
        <w:rPr>
          <w:rFonts w:hint="eastAsia"/>
          <w:b/>
          <w:bCs/>
          <w:color w:val="000000"/>
          <w:sz w:val="21"/>
          <w:szCs w:val="21"/>
          <w:lang w:val="en-US" w:eastAsia="zh-CN"/>
        </w:rPr>
        <w:t>6.1-2 项目矿石堆场恢复前后对比</w:t>
      </w:r>
    </w:p>
    <w:p>
      <w:pPr>
        <w:tabs>
          <w:tab w:val="left" w:pos="5940"/>
        </w:tabs>
        <w:spacing w:line="240" w:lineRule="auto"/>
        <w:ind w:firstLine="422" w:firstLineChars="200"/>
        <w:jc w:val="center"/>
        <w:rPr>
          <w:rFonts w:hint="eastAsia"/>
          <w:b/>
          <w:bCs/>
          <w:color w:val="000000"/>
          <w:sz w:val="21"/>
          <w:szCs w:val="21"/>
          <w:lang w:eastAsia="zh-CN"/>
        </w:rPr>
      </w:pPr>
      <w:r>
        <w:rPr>
          <w:rFonts w:hint="eastAsia"/>
          <w:b/>
          <w:bCs/>
          <w:color w:val="000000"/>
          <w:sz w:val="21"/>
          <w:szCs w:val="21"/>
          <w:lang w:eastAsia="zh-CN"/>
        </w:rPr>
        <w:drawing>
          <wp:inline distT="0" distB="0" distL="114300" distR="114300">
            <wp:extent cx="2932430" cy="2518410"/>
            <wp:effectExtent l="0" t="0" r="1270" b="15240"/>
            <wp:docPr id="155" name="图片 155" descr="1234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1234AAA"/>
                    <pic:cNvPicPr>
                      <a:picLocks noChangeAspect="1"/>
                    </pic:cNvPicPr>
                  </pic:nvPicPr>
                  <pic:blipFill>
                    <a:blip r:embed="rId32"/>
                    <a:srcRect r="44314" b="14820"/>
                    <a:stretch>
                      <a:fillRect/>
                    </a:stretch>
                  </pic:blipFill>
                  <pic:spPr>
                    <a:xfrm>
                      <a:off x="0" y="0"/>
                      <a:ext cx="2932430" cy="2518410"/>
                    </a:xfrm>
                    <a:prstGeom prst="rect">
                      <a:avLst/>
                    </a:prstGeom>
                  </pic:spPr>
                </pic:pic>
              </a:graphicData>
            </a:graphic>
          </wp:inline>
        </w:drawing>
      </w:r>
    </w:p>
    <w:p>
      <w:pPr>
        <w:tabs>
          <w:tab w:val="left" w:pos="5940"/>
        </w:tabs>
        <w:spacing w:line="480" w:lineRule="exact"/>
        <w:ind w:firstLine="422" w:firstLineChars="200"/>
        <w:jc w:val="center"/>
        <w:rPr>
          <w:rFonts w:hint="eastAsia"/>
          <w:color w:val="auto"/>
          <w:sz w:val="24"/>
          <w:szCs w:val="24"/>
          <w:vertAlign w:val="baseline"/>
          <w:lang w:val="en-US" w:eastAsia="zh-CN"/>
        </w:rPr>
      </w:pPr>
      <w:r>
        <w:rPr>
          <w:rFonts w:hint="eastAsia"/>
          <w:b/>
          <w:bCs/>
          <w:color w:val="000000"/>
          <w:sz w:val="21"/>
          <w:szCs w:val="21"/>
          <w:lang w:eastAsia="zh-CN"/>
        </w:rPr>
        <w:t>图</w:t>
      </w:r>
      <w:r>
        <w:rPr>
          <w:rFonts w:hint="eastAsia"/>
          <w:b/>
          <w:bCs/>
          <w:color w:val="000000"/>
          <w:sz w:val="21"/>
          <w:szCs w:val="21"/>
          <w:lang w:val="en-US" w:eastAsia="zh-CN"/>
        </w:rPr>
        <w:t>6.1-2 原姚街第二铅锌矿堆场恢复情况</w:t>
      </w:r>
    </w:p>
    <w:p>
      <w:pPr>
        <w:tabs>
          <w:tab w:val="left" w:pos="5940"/>
        </w:tabs>
        <w:spacing w:line="480" w:lineRule="exact"/>
        <w:ind w:firstLine="480" w:firstLineChars="200"/>
        <w:rPr>
          <w:rFonts w:hint="eastAsia" w:hAnsi="宋体"/>
          <w:color w:val="auto"/>
          <w:sz w:val="24"/>
        </w:rPr>
      </w:pPr>
      <w:r>
        <w:rPr>
          <w:rFonts w:hint="eastAsia"/>
          <w:color w:val="auto"/>
          <w:sz w:val="24"/>
          <w:szCs w:val="24"/>
          <w:vertAlign w:val="baseline"/>
          <w:lang w:val="en-US" w:eastAsia="zh-CN"/>
        </w:rPr>
        <w:t>5.</w:t>
      </w:r>
      <w:r>
        <w:rPr>
          <w:rFonts w:hint="eastAsia" w:hAnsi="宋体"/>
          <w:color w:val="auto"/>
          <w:sz w:val="24"/>
        </w:rPr>
        <w:t>保障措施</w:t>
      </w:r>
    </w:p>
    <w:p>
      <w:pPr>
        <w:tabs>
          <w:tab w:val="left" w:pos="5940"/>
        </w:tabs>
        <w:spacing w:line="480" w:lineRule="exact"/>
        <w:ind w:firstLine="480" w:firstLineChars="200"/>
        <w:rPr>
          <w:rFonts w:hint="eastAsia" w:hAnsi="宋体"/>
          <w:color w:val="000000"/>
          <w:sz w:val="24"/>
        </w:rPr>
      </w:pPr>
      <w:r>
        <w:rPr>
          <w:rFonts w:hint="eastAsia" w:hAnsi="宋体"/>
          <w:color w:val="000000"/>
          <w:sz w:val="24"/>
          <w:lang w:eastAsia="zh-CN"/>
        </w:rPr>
        <w:t>（</w:t>
      </w:r>
      <w:r>
        <w:rPr>
          <w:rFonts w:hint="eastAsia" w:hAnsi="宋体"/>
          <w:color w:val="000000"/>
          <w:sz w:val="24"/>
          <w:lang w:val="en-US" w:eastAsia="zh-CN"/>
        </w:rPr>
        <w:t>1</w:t>
      </w:r>
      <w:r>
        <w:rPr>
          <w:rFonts w:hint="eastAsia" w:hAnsi="宋体"/>
          <w:color w:val="000000"/>
          <w:sz w:val="24"/>
          <w:lang w:eastAsia="zh-CN"/>
        </w:rPr>
        <w:t>）</w:t>
      </w:r>
      <w:r>
        <w:rPr>
          <w:rFonts w:hint="eastAsia" w:hAnsi="宋体"/>
          <w:color w:val="000000"/>
          <w:sz w:val="24"/>
        </w:rPr>
        <w:t>组织领导与管理。项目应成立专门的生态保护与恢复领导小组，统一领导，规范施工，制定方案实施的目标责任制。</w:t>
      </w:r>
    </w:p>
    <w:p>
      <w:pPr>
        <w:tabs>
          <w:tab w:val="left" w:pos="5940"/>
        </w:tabs>
        <w:spacing w:line="480" w:lineRule="exact"/>
        <w:ind w:firstLine="480" w:firstLineChars="200"/>
        <w:rPr>
          <w:rFonts w:hint="eastAsia" w:hAnsi="宋体"/>
          <w:color w:val="000000"/>
          <w:sz w:val="24"/>
        </w:rPr>
      </w:pPr>
      <w:r>
        <w:rPr>
          <w:rFonts w:hint="eastAsia" w:hAnsi="宋体"/>
          <w:color w:val="000000"/>
          <w:sz w:val="24"/>
          <w:lang w:eastAsia="zh-CN"/>
        </w:rPr>
        <w:t>（</w:t>
      </w:r>
      <w:r>
        <w:rPr>
          <w:rFonts w:hint="eastAsia" w:hAnsi="宋体"/>
          <w:color w:val="000000"/>
          <w:sz w:val="24"/>
          <w:lang w:val="en-US" w:eastAsia="zh-CN"/>
        </w:rPr>
        <w:t>2</w:t>
      </w:r>
      <w:r>
        <w:rPr>
          <w:rFonts w:hint="eastAsia" w:hAnsi="宋体"/>
          <w:color w:val="000000"/>
          <w:sz w:val="24"/>
          <w:lang w:eastAsia="zh-CN"/>
        </w:rPr>
        <w:t>）</w:t>
      </w:r>
      <w:r>
        <w:rPr>
          <w:rFonts w:hint="eastAsia" w:hAnsi="宋体"/>
          <w:color w:val="000000"/>
          <w:sz w:val="24"/>
        </w:rPr>
        <w:t>资金落实。生态恢复过程中所用的费用应从总投资中列支，做到专款专用。</w:t>
      </w:r>
    </w:p>
    <w:p>
      <w:pPr>
        <w:pStyle w:val="2"/>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hAnsi="宋体"/>
          <w:color w:val="000000"/>
          <w:sz w:val="24"/>
          <w:lang w:val="en-US" w:eastAsia="zh-CN"/>
        </w:rPr>
      </w:pPr>
      <w:r>
        <w:rPr>
          <w:rFonts w:hint="eastAsia" w:hAnsi="宋体"/>
          <w:color w:val="000000"/>
          <w:sz w:val="24"/>
          <w:lang w:eastAsia="zh-CN"/>
        </w:rPr>
        <w:t>（</w:t>
      </w:r>
      <w:r>
        <w:rPr>
          <w:rFonts w:hint="eastAsia" w:hAnsi="宋体"/>
          <w:color w:val="000000"/>
          <w:sz w:val="24"/>
          <w:lang w:val="en-US" w:eastAsia="zh-CN"/>
        </w:rPr>
        <w:t>3</w:t>
      </w:r>
      <w:r>
        <w:rPr>
          <w:rFonts w:hint="eastAsia" w:hAnsi="宋体"/>
          <w:color w:val="000000"/>
          <w:sz w:val="24"/>
          <w:lang w:eastAsia="zh-CN"/>
        </w:rPr>
        <w:t>）</w:t>
      </w:r>
      <w:r>
        <w:rPr>
          <w:rFonts w:hint="eastAsia" w:hAnsi="宋体"/>
          <w:color w:val="000000"/>
          <w:sz w:val="24"/>
        </w:rPr>
        <w:t>施工管理</w:t>
      </w:r>
      <w:r>
        <w:rPr>
          <w:rFonts w:hint="eastAsia" w:hAnsi="宋体"/>
          <w:color w:val="000000"/>
          <w:sz w:val="24"/>
          <w:lang w:eastAsia="zh-CN"/>
        </w:rPr>
        <w:t>。</w:t>
      </w:r>
      <w:r>
        <w:rPr>
          <w:rFonts w:hint="eastAsia" w:hAnsi="宋体"/>
          <w:color w:val="000000"/>
          <w:sz w:val="24"/>
        </w:rPr>
        <w:t>施工单位具有生态保护专业的技术人员进行现场指导施工。</w:t>
      </w:r>
    </w:p>
    <w:p>
      <w:pPr>
        <w:pStyle w:val="4"/>
        <w:rPr>
          <w:rFonts w:hint="eastAsia"/>
          <w:color w:val="auto"/>
          <w:lang w:val="en-US" w:eastAsia="zh-CN"/>
        </w:rPr>
      </w:pPr>
      <w:bookmarkStart w:id="275" w:name="_Toc14853"/>
      <w:bookmarkStart w:id="276" w:name="_Toc14732"/>
      <w:r>
        <w:rPr>
          <w:rFonts w:hint="eastAsia"/>
          <w:color w:val="auto"/>
          <w:lang w:val="en-US" w:eastAsia="zh-CN"/>
        </w:rPr>
        <w:t>6.3 生态影响调查结论</w:t>
      </w:r>
      <w:bookmarkEnd w:id="275"/>
      <w:bookmarkEnd w:id="276"/>
    </w:p>
    <w:p>
      <w:pPr>
        <w:ind w:firstLine="480" w:firstLineChars="200"/>
        <w:rPr>
          <w:rFonts w:hint="eastAsia"/>
          <w:color w:val="auto"/>
          <w:lang w:val="en-US" w:eastAsia="zh-CN"/>
        </w:rPr>
      </w:pPr>
      <w:r>
        <w:rPr>
          <w:color w:val="auto"/>
        </w:rPr>
        <w:t>项目建设基本落实了环评</w:t>
      </w:r>
      <w:r>
        <w:rPr>
          <w:rFonts w:hint="eastAsia"/>
          <w:color w:val="auto"/>
          <w:lang w:eastAsia="zh-CN"/>
        </w:rPr>
        <w:t>及</w:t>
      </w:r>
      <w:r>
        <w:rPr>
          <w:color w:val="auto"/>
        </w:rPr>
        <w:t>批复</w:t>
      </w:r>
      <w:r>
        <w:rPr>
          <w:rFonts w:hint="eastAsia"/>
          <w:color w:val="auto"/>
          <w:lang w:eastAsia="zh-CN"/>
        </w:rPr>
        <w:t>的</w:t>
      </w:r>
      <w:r>
        <w:rPr>
          <w:color w:val="auto"/>
        </w:rPr>
        <w:t>要求，对生态环境的影响在可接受范围内。</w:t>
      </w:r>
    </w:p>
    <w:p>
      <w:pPr>
        <w:numPr>
          <w:ilvl w:val="0"/>
          <w:numId w:val="0"/>
        </w:numPr>
        <w:rPr>
          <w:rFonts w:hint="eastAsia"/>
          <w:lang w:val="en-US" w:eastAsia="zh-CN"/>
        </w:rPr>
      </w:pPr>
    </w:p>
    <w:p>
      <w:pPr>
        <w:pStyle w:val="18"/>
        <w:rPr>
          <w:rFonts w:hint="eastAsia"/>
          <w:lang w:val="en-US" w:eastAsia="zh-CN"/>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pStyle w:val="3"/>
        <w:jc w:val="center"/>
        <w:rPr>
          <w:rFonts w:hint="eastAsia"/>
          <w:lang w:eastAsia="zh-CN"/>
        </w:rPr>
      </w:pPr>
      <w:bookmarkStart w:id="277" w:name="_Toc18342"/>
      <w:r>
        <w:rPr>
          <w:rFonts w:hint="eastAsia"/>
          <w:lang w:val="en-US" w:eastAsia="zh-CN"/>
        </w:rPr>
        <w:t xml:space="preserve">7 </w:t>
      </w:r>
      <w:r>
        <w:rPr>
          <w:rFonts w:hint="eastAsia"/>
          <w:lang w:eastAsia="zh-CN"/>
        </w:rPr>
        <w:t>污染影响调查</w:t>
      </w:r>
      <w:bookmarkEnd w:id="277"/>
    </w:p>
    <w:p>
      <w:pPr>
        <w:pStyle w:val="4"/>
        <w:rPr>
          <w:rFonts w:hint="eastAsia"/>
          <w:lang w:val="en-US" w:eastAsia="zh-CN"/>
        </w:rPr>
      </w:pPr>
      <w:bookmarkStart w:id="278" w:name="_Toc19516"/>
      <w:r>
        <w:rPr>
          <w:rFonts w:hint="eastAsia"/>
          <w:lang w:val="en-US" w:eastAsia="zh-CN"/>
        </w:rPr>
        <w:t>7.1 污染影响监测内容</w:t>
      </w:r>
      <w:bookmarkEnd w:id="278"/>
    </w:p>
    <w:p>
      <w:pPr>
        <w:ind w:left="0" w:leftChars="0" w:firstLine="480" w:firstLineChars="200"/>
        <w:rPr>
          <w:rFonts w:hint="eastAsia"/>
          <w:lang w:eastAsia="zh-CN"/>
        </w:rPr>
      </w:pPr>
      <w:r>
        <w:rPr>
          <w:rFonts w:hint="eastAsia"/>
          <w:lang w:eastAsia="zh-CN"/>
        </w:rPr>
        <w:t>针</w:t>
      </w:r>
      <w:r>
        <w:rPr>
          <w:rFonts w:hint="eastAsia"/>
        </w:rPr>
        <w:t>对各类污染物达标排放</w:t>
      </w:r>
      <w:r>
        <w:rPr>
          <w:rFonts w:hint="eastAsia"/>
          <w:lang w:eastAsia="zh-CN"/>
        </w:rPr>
        <w:t>情况和项目周边敏感点的环境质量进行监测，具体内容包括项目产生的颗粒物等无组织废气污染物、生产废水、设备运行的机械噪声和车辆运输时产生的交通噪声以及距项目最近敏感点的各污染物的相对情况。</w:t>
      </w:r>
    </w:p>
    <w:p>
      <w:pPr>
        <w:ind w:firstLine="480" w:firstLineChars="200"/>
        <w:rPr>
          <w:rFonts w:hint="eastAsia"/>
          <w:lang w:val="en-US" w:eastAsia="zh-CN"/>
        </w:rPr>
      </w:pPr>
      <w:r>
        <w:rPr>
          <w:rFonts w:hint="eastAsia"/>
          <w:lang w:val="en-US" w:eastAsia="zh-CN"/>
        </w:rPr>
        <w:t>根据现场情况的调查，项目地表作业区域基本确定，因此确定了项目厂界各污染因子的监测布点位置，具体情况见图7.1-1。</w:t>
      </w:r>
    </w:p>
    <w:p>
      <w:pPr>
        <w:pStyle w:val="2"/>
        <w:rPr>
          <w:rFonts w:hint="eastAsia"/>
          <w:lang w:val="en-US" w:eastAsia="zh-CN"/>
        </w:rPr>
      </w:pPr>
      <w:r>
        <w:rPr>
          <w:rFonts w:hint="eastAsia"/>
          <w:lang w:val="en-US" w:eastAsia="zh-CN"/>
        </w:rPr>
        <w:drawing>
          <wp:inline distT="0" distB="0" distL="114300" distR="114300">
            <wp:extent cx="5272405" cy="3430270"/>
            <wp:effectExtent l="0" t="0" r="4445" b="17780"/>
            <wp:docPr id="87" name="图片 87" descr="采样布点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采样布点T"/>
                    <pic:cNvPicPr>
                      <a:picLocks noChangeAspect="1"/>
                    </pic:cNvPicPr>
                  </pic:nvPicPr>
                  <pic:blipFill>
                    <a:blip r:embed="rId33"/>
                    <a:srcRect t="13249"/>
                    <a:stretch>
                      <a:fillRect/>
                    </a:stretch>
                  </pic:blipFill>
                  <pic:spPr>
                    <a:xfrm>
                      <a:off x="0" y="0"/>
                      <a:ext cx="5272405" cy="3430270"/>
                    </a:xfrm>
                    <a:prstGeom prst="rect">
                      <a:avLst/>
                    </a:prstGeom>
                  </pic:spPr>
                </pic:pic>
              </a:graphicData>
            </a:graphic>
          </wp:inline>
        </w:drawing>
      </w:r>
    </w:p>
    <w:p>
      <w:pPr>
        <w:pStyle w:val="2"/>
        <w:jc w:val="center"/>
        <w:rPr>
          <w:rFonts w:hint="eastAsia"/>
          <w:b/>
          <w:bCs/>
          <w:sz w:val="21"/>
          <w:szCs w:val="21"/>
          <w:lang w:val="en-US" w:eastAsia="zh-CN"/>
        </w:rPr>
      </w:pPr>
      <w:r>
        <w:rPr>
          <w:rFonts w:hint="eastAsia"/>
          <w:b/>
          <w:bCs/>
          <w:sz w:val="21"/>
          <w:szCs w:val="21"/>
          <w:lang w:val="en-US" w:eastAsia="zh-CN"/>
        </w:rPr>
        <w:t>图7.1-1 项目污染物排放监测布点</w:t>
      </w:r>
    </w:p>
    <w:p>
      <w:pPr>
        <w:pStyle w:val="2"/>
        <w:ind w:firstLine="480" w:firstLineChars="200"/>
        <w:jc w:val="both"/>
        <w:rPr>
          <w:rFonts w:hint="eastAsia"/>
          <w:color w:val="FF0000"/>
          <w:lang w:val="en-US" w:eastAsia="zh-CN"/>
        </w:rPr>
      </w:pPr>
      <w:r>
        <w:rPr>
          <w:rFonts w:hint="eastAsia" w:ascii="宋体" w:hAnsi="宋体" w:eastAsia="宋体"/>
          <w:sz w:val="24"/>
          <w:szCs w:val="24"/>
        </w:rPr>
        <w:t>环境影响报告书及</w:t>
      </w:r>
      <w:r>
        <w:rPr>
          <w:rFonts w:hint="eastAsia" w:ascii="宋体" w:hAnsi="宋体"/>
          <w:sz w:val="24"/>
          <w:szCs w:val="24"/>
          <w:lang w:eastAsia="zh-CN"/>
        </w:rPr>
        <w:t>安徽省环保厅</w:t>
      </w:r>
      <w:r>
        <w:rPr>
          <w:rFonts w:hint="eastAsia" w:ascii="宋体" w:hAnsi="宋体" w:eastAsia="宋体"/>
          <w:sz w:val="24"/>
          <w:szCs w:val="24"/>
        </w:rPr>
        <w:t>审批决定中对环境敏感保护目标有要求的要进行环境质量监测，以说明工程建设对环境的影响，</w:t>
      </w:r>
      <w:r>
        <w:rPr>
          <w:rFonts w:hint="eastAsia" w:ascii="宋体" w:hAnsi="宋体"/>
          <w:sz w:val="24"/>
          <w:szCs w:val="24"/>
          <w:lang w:eastAsia="zh-CN"/>
        </w:rPr>
        <w:t>其中涉及项目地附近地下水质量和居民住宅处空气和噪声</w:t>
      </w:r>
      <w:r>
        <w:rPr>
          <w:rFonts w:hint="eastAsia" w:ascii="宋体" w:hAnsi="宋体"/>
          <w:color w:val="auto"/>
          <w:sz w:val="24"/>
          <w:szCs w:val="24"/>
          <w:lang w:eastAsia="zh-CN"/>
        </w:rPr>
        <w:t>质量监测，因此此次验收对附近地下水井中的地下水质量和距离项目区最近的居民住宅处空气、噪声也同步进行监测。</w:t>
      </w:r>
      <w:r>
        <w:rPr>
          <w:rFonts w:hint="eastAsia"/>
          <w:color w:val="auto"/>
          <w:lang w:val="en-US" w:eastAsia="zh-CN"/>
        </w:rPr>
        <w:t>项目周边距离最近的敏感点为项目西偏北方向的村庄张家的两户居民，地下水用等水线法确定流向，选取项目西北</w:t>
      </w:r>
      <w:r>
        <w:rPr>
          <w:rFonts w:hint="default" w:ascii="Times New Roman" w:hAnsi="Times New Roman" w:cs="Times New Roman"/>
          <w:color w:val="auto"/>
          <w:sz w:val="24"/>
          <w:szCs w:val="24"/>
          <w:vertAlign w:val="baseline"/>
          <w:lang w:val="en-US" w:eastAsia="zh-CN"/>
        </w:rPr>
        <w:t>项目西北</w:t>
      </w:r>
      <w:r>
        <w:rPr>
          <w:rFonts w:hint="eastAsia" w:ascii="Times New Roman" w:hAnsi="Times New Roman" w:cs="Times New Roman"/>
          <w:color w:val="auto"/>
          <w:sz w:val="24"/>
          <w:szCs w:val="24"/>
          <w:vertAlign w:val="baseline"/>
          <w:lang w:val="en-US" w:eastAsia="zh-CN"/>
        </w:rPr>
        <w:t>方</w:t>
      </w:r>
      <w:r>
        <w:rPr>
          <w:rFonts w:hint="default" w:ascii="Times New Roman" w:hAnsi="Times New Roman" w:cs="Times New Roman"/>
          <w:color w:val="auto"/>
          <w:sz w:val="24"/>
          <w:szCs w:val="24"/>
          <w:vertAlign w:val="baseline"/>
          <w:lang w:val="en-US" w:eastAsia="zh-CN"/>
        </w:rPr>
        <w:t>425米、1090米及2150米的三口</w:t>
      </w:r>
      <w:r>
        <w:rPr>
          <w:rFonts w:hint="eastAsia" w:cs="Times New Roman"/>
          <w:color w:val="auto"/>
          <w:sz w:val="24"/>
          <w:szCs w:val="24"/>
          <w:vertAlign w:val="baseline"/>
          <w:lang w:val="en-US" w:eastAsia="zh-CN"/>
        </w:rPr>
        <w:t>农用</w:t>
      </w:r>
      <w:r>
        <w:rPr>
          <w:rFonts w:hint="default" w:ascii="Times New Roman" w:hAnsi="Times New Roman" w:cs="Times New Roman"/>
          <w:color w:val="auto"/>
          <w:sz w:val="24"/>
          <w:szCs w:val="24"/>
          <w:vertAlign w:val="baseline"/>
          <w:lang w:val="en-US" w:eastAsia="zh-CN"/>
        </w:rPr>
        <w:t>地下水井</w:t>
      </w:r>
      <w:r>
        <w:rPr>
          <w:rFonts w:hint="eastAsia" w:cs="Times New Roman"/>
          <w:color w:val="auto"/>
          <w:sz w:val="21"/>
          <w:szCs w:val="21"/>
          <w:vertAlign w:val="baseline"/>
          <w:lang w:val="en-US" w:eastAsia="zh-CN"/>
        </w:rPr>
        <w:t>，</w:t>
      </w:r>
      <w:r>
        <w:rPr>
          <w:rFonts w:hint="eastAsia" w:ascii="宋体" w:hAnsi="宋体"/>
          <w:color w:val="auto"/>
          <w:sz w:val="24"/>
          <w:szCs w:val="24"/>
          <w:lang w:val="en-US" w:eastAsia="zh-CN"/>
        </w:rPr>
        <w:t>测得三处地下水</w:t>
      </w:r>
      <w:r>
        <w:rPr>
          <w:rFonts w:hint="eastAsia" w:ascii="宋体" w:hAnsi="宋体"/>
          <w:color w:val="auto"/>
          <w:sz w:val="24"/>
          <w:szCs w:val="24"/>
          <w:lang w:eastAsia="zh-CN"/>
        </w:rPr>
        <w:fldChar w:fldCharType="begin"/>
      </w:r>
      <w:r>
        <w:rPr>
          <w:rFonts w:hint="eastAsia" w:ascii="宋体" w:hAnsi="宋体"/>
          <w:color w:val="auto"/>
          <w:sz w:val="24"/>
          <w:szCs w:val="24"/>
          <w:lang w:eastAsia="zh-CN"/>
        </w:rPr>
        <w:instrText xml:space="preserve"> HYPERLINK "https://www.baidu.com/s?wd=%E7%AD%89%E6%BD%9C%E6%B0%B4%E4%BD%8D%E7%BA%BF&amp;tn=44039180_cpr&amp;fenlei=mv6quAkxTZn0IZRqIHckPjm4nH00T1YvrHFBrj0YnHRLm1mvuynk0ZwV5Hcvrjm3rH6sPfKWUMw85HfYnjn4nH6sgvPsT6KdThsqpZwYTjCEQLGCpyw9Uz4Bmy-bIi4WUvYETgN-TLwGUv3EPj6LPHnkP10k" \t "https://zhidao.baidu.com/question/_blank" </w:instrText>
      </w:r>
      <w:r>
        <w:rPr>
          <w:rFonts w:hint="eastAsia" w:ascii="宋体" w:hAnsi="宋体"/>
          <w:color w:val="auto"/>
          <w:sz w:val="24"/>
          <w:szCs w:val="24"/>
          <w:lang w:eastAsia="zh-CN"/>
        </w:rPr>
        <w:fldChar w:fldCharType="separate"/>
      </w:r>
      <w:r>
        <w:rPr>
          <w:rFonts w:hint="eastAsia" w:ascii="宋体" w:hAnsi="宋体"/>
          <w:color w:val="auto"/>
          <w:sz w:val="24"/>
          <w:szCs w:val="24"/>
          <w:lang w:eastAsia="zh-CN"/>
        </w:rPr>
        <w:t>等潜水位线</w:t>
      </w:r>
      <w:r>
        <w:rPr>
          <w:rFonts w:hint="eastAsia" w:ascii="宋体" w:hAnsi="宋体"/>
          <w:color w:val="auto"/>
          <w:sz w:val="24"/>
          <w:szCs w:val="24"/>
          <w:lang w:eastAsia="zh-CN"/>
        </w:rPr>
        <w:fldChar w:fldCharType="end"/>
      </w:r>
      <w:r>
        <w:rPr>
          <w:rFonts w:hint="eastAsia" w:ascii="宋体" w:hAnsi="宋体"/>
          <w:color w:val="auto"/>
          <w:sz w:val="24"/>
          <w:szCs w:val="24"/>
          <w:lang w:eastAsia="zh-CN"/>
        </w:rPr>
        <w:t>的高度，得出地下</w:t>
      </w:r>
      <w:r>
        <w:rPr>
          <w:rFonts w:hint="eastAsia" w:ascii="宋体" w:hAnsi="宋体"/>
          <w:sz w:val="24"/>
          <w:szCs w:val="24"/>
          <w:lang w:eastAsia="zh-CN"/>
        </w:rPr>
        <w:t>水流向为自东向西，三口民用水井可作监测井。</w:t>
      </w:r>
    </w:p>
    <w:p>
      <w:pPr>
        <w:pStyle w:val="4"/>
        <w:rPr>
          <w:rFonts w:hint="eastAsia"/>
          <w:lang w:val="en-US" w:eastAsia="zh-CN"/>
        </w:rPr>
      </w:pPr>
      <w:bookmarkStart w:id="279" w:name="_Toc6142"/>
      <w:r>
        <w:rPr>
          <w:rFonts w:hint="eastAsia"/>
          <w:lang w:val="en-US" w:eastAsia="zh-CN"/>
        </w:rPr>
        <w:t>7.2 生产工况</w:t>
      </w:r>
      <w:bookmarkEnd w:id="279"/>
    </w:p>
    <w:p>
      <w:pPr>
        <w:ind w:firstLine="480" w:firstLineChars="200"/>
        <w:rPr>
          <w:rFonts w:hint="eastAsia"/>
          <w:lang w:val="en-US" w:eastAsia="zh-CN"/>
        </w:rPr>
      </w:pPr>
      <w:r>
        <w:rPr>
          <w:rFonts w:hint="eastAsia"/>
          <w:lang w:val="en-US" w:eastAsia="zh-CN"/>
        </w:rPr>
        <w:t>安徽环科检测中心有限公司与2017年10月8日至9日对项目各项污染物排放情况和敏感点环境质量进行了现场采样监测，监测期间内姚街铅锌矿生产工况具体内容见表7.2-1</w:t>
      </w:r>
    </w:p>
    <w:p>
      <w:pPr>
        <w:ind w:firstLine="422" w:firstLineChars="200"/>
        <w:jc w:val="center"/>
        <w:rPr>
          <w:rFonts w:hint="eastAsia"/>
          <w:b/>
          <w:bCs/>
          <w:sz w:val="21"/>
          <w:szCs w:val="21"/>
          <w:lang w:val="en-US" w:eastAsia="zh-CN"/>
        </w:rPr>
      </w:pPr>
      <w:r>
        <w:rPr>
          <w:rFonts w:hint="eastAsia"/>
          <w:b/>
          <w:bCs/>
          <w:sz w:val="21"/>
          <w:szCs w:val="21"/>
          <w:lang w:val="en-US" w:eastAsia="zh-CN"/>
        </w:rPr>
        <w:t>表7.2-1 监测期间内生产负荷一览表</w:t>
      </w:r>
    </w:p>
    <w:tbl>
      <w:tblPr>
        <w:tblStyle w:val="17"/>
        <w:tblW w:w="8991" w:type="dxa"/>
        <w:jc w:val="center"/>
        <w:tblInd w:w="254"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7"/>
        <w:gridCol w:w="1956"/>
        <w:gridCol w:w="1956"/>
        <w:gridCol w:w="1956"/>
        <w:gridCol w:w="195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6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color w:val="auto"/>
                <w:sz w:val="21"/>
                <w:szCs w:val="21"/>
                <w:vertAlign w:val="baseline"/>
                <w:lang w:val="en-US" w:eastAsia="zh-CN"/>
              </w:rPr>
            </w:pPr>
            <w:r>
              <w:rPr>
                <w:rFonts w:hint="eastAsia"/>
                <w:b/>
                <w:bCs/>
                <w:color w:val="auto"/>
                <w:sz w:val="21"/>
                <w:szCs w:val="21"/>
                <w:vertAlign w:val="baseline"/>
                <w:lang w:val="en-US" w:eastAsia="zh-CN"/>
              </w:rPr>
              <w:t>日期</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color w:val="auto"/>
                <w:sz w:val="21"/>
                <w:szCs w:val="21"/>
                <w:vertAlign w:val="baseline"/>
                <w:lang w:val="en-US" w:eastAsia="zh-CN"/>
              </w:rPr>
            </w:pPr>
            <w:r>
              <w:rPr>
                <w:rFonts w:hint="eastAsia"/>
                <w:b/>
                <w:bCs/>
                <w:color w:val="auto"/>
                <w:sz w:val="21"/>
                <w:szCs w:val="21"/>
                <w:vertAlign w:val="baseline"/>
                <w:lang w:val="en-US" w:eastAsia="zh-CN"/>
              </w:rPr>
              <w:t>项目</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color w:val="auto"/>
                <w:sz w:val="21"/>
                <w:szCs w:val="21"/>
                <w:vertAlign w:val="baseline"/>
                <w:lang w:val="en-US" w:eastAsia="zh-CN"/>
              </w:rPr>
            </w:pPr>
            <w:r>
              <w:rPr>
                <w:rFonts w:hint="eastAsia"/>
                <w:b/>
                <w:bCs/>
                <w:color w:val="auto"/>
                <w:sz w:val="21"/>
                <w:szCs w:val="21"/>
                <w:vertAlign w:val="baseline"/>
                <w:lang w:val="en-US" w:eastAsia="zh-CN"/>
              </w:rPr>
              <w:t>设计产量及消耗量</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color w:val="auto"/>
                <w:sz w:val="21"/>
                <w:szCs w:val="21"/>
                <w:vertAlign w:val="baseline"/>
                <w:lang w:val="en-US" w:eastAsia="zh-CN"/>
              </w:rPr>
            </w:pPr>
            <w:r>
              <w:rPr>
                <w:rFonts w:hint="eastAsia"/>
                <w:b/>
                <w:bCs/>
                <w:color w:val="auto"/>
                <w:sz w:val="21"/>
                <w:szCs w:val="21"/>
                <w:vertAlign w:val="baseline"/>
                <w:lang w:val="en-US" w:eastAsia="zh-CN"/>
              </w:rPr>
              <w:t>实际产量及消耗量</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color w:val="auto"/>
                <w:sz w:val="21"/>
                <w:szCs w:val="21"/>
                <w:vertAlign w:val="baseline"/>
                <w:lang w:val="en-US" w:eastAsia="zh-CN"/>
              </w:rPr>
            </w:pPr>
            <w:r>
              <w:rPr>
                <w:rFonts w:hint="eastAsia"/>
                <w:b/>
                <w:bCs/>
                <w:color w:val="auto"/>
                <w:sz w:val="21"/>
                <w:szCs w:val="21"/>
                <w:vertAlign w:val="baseline"/>
                <w:lang w:val="en-US" w:eastAsia="zh-CN"/>
              </w:rPr>
              <w:t>生产负荷（%）</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67"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2017.10.8</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矿石（t）</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40</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32</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80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6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用水（t）</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1</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0.8</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80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6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耗电（度）</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500</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395</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79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67"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2017.10.9</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矿石（t）</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40</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31</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77.5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6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用水（t）</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1</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0.8</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80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6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耗电（度）</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500</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390</w:t>
            </w:r>
          </w:p>
        </w:tc>
        <w:tc>
          <w:tcPr>
            <w:tcW w:w="195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color w:val="auto"/>
                <w:sz w:val="21"/>
                <w:szCs w:val="21"/>
                <w:vertAlign w:val="baseline"/>
                <w:lang w:val="en-US" w:eastAsia="zh-CN"/>
              </w:rPr>
            </w:pPr>
            <w:r>
              <w:rPr>
                <w:rFonts w:hint="eastAsia"/>
                <w:color w:val="auto"/>
                <w:sz w:val="21"/>
                <w:szCs w:val="21"/>
                <w:vertAlign w:val="baseline"/>
                <w:lang w:val="en-US" w:eastAsia="zh-CN"/>
              </w:rPr>
              <w:t>78</w:t>
            </w:r>
          </w:p>
        </w:tc>
      </w:tr>
    </w:tbl>
    <w:p>
      <w:pPr>
        <w:ind w:firstLine="480" w:firstLineChars="200"/>
        <w:rPr>
          <w:rFonts w:hint="eastAsia"/>
          <w:lang w:val="en-US" w:eastAsia="zh-CN"/>
        </w:rPr>
      </w:pPr>
      <w:r>
        <w:rPr>
          <w:rFonts w:hint="eastAsia"/>
          <w:lang w:val="en-US" w:eastAsia="zh-CN"/>
        </w:rPr>
        <w:t>由上表可知，监测期间内的生产工况在78%以上。</w:t>
      </w:r>
    </w:p>
    <w:p>
      <w:pPr>
        <w:pStyle w:val="4"/>
        <w:rPr>
          <w:rFonts w:hint="eastAsia"/>
          <w:lang w:val="en-US" w:eastAsia="zh-CN"/>
        </w:rPr>
      </w:pPr>
      <w:bookmarkStart w:id="280" w:name="_Toc29139"/>
      <w:r>
        <w:rPr>
          <w:rFonts w:hint="eastAsia"/>
          <w:lang w:val="en-US" w:eastAsia="zh-CN"/>
        </w:rPr>
        <w:t>7.3 水环境影响调查</w:t>
      </w:r>
      <w:bookmarkEnd w:id="280"/>
    </w:p>
    <w:p>
      <w:pPr>
        <w:pStyle w:val="5"/>
        <w:rPr>
          <w:rFonts w:hint="eastAsia"/>
          <w:lang w:val="en-US" w:eastAsia="zh-CN"/>
        </w:rPr>
      </w:pPr>
      <w:r>
        <w:rPr>
          <w:rFonts w:hint="eastAsia"/>
          <w:lang w:val="en-US" w:eastAsia="zh-CN"/>
        </w:rPr>
        <w:t>7.3.1水污染源及治理</w:t>
      </w:r>
    </w:p>
    <w:p>
      <w:pPr>
        <w:pStyle w:val="2"/>
        <w:ind w:firstLine="480" w:firstLineChars="200"/>
        <w:rPr>
          <w:rFonts w:hint="eastAsia"/>
          <w:lang w:val="en-US" w:eastAsia="zh-CN"/>
        </w:rPr>
      </w:pPr>
      <w:r>
        <w:rPr>
          <w:rFonts w:hint="eastAsia"/>
          <w:lang w:val="en-US" w:eastAsia="zh-CN"/>
        </w:rPr>
        <w:t>项目无生活污水产生，生产废水</w:t>
      </w:r>
      <w:r>
        <w:rPr>
          <w:rFonts w:hint="eastAsia"/>
          <w:color w:val="000000"/>
          <w:sz w:val="24"/>
          <w:lang w:eastAsia="zh-CN"/>
        </w:rPr>
        <w:t>包括</w:t>
      </w:r>
      <w:r>
        <w:rPr>
          <w:rFonts w:hint="eastAsia"/>
          <w:color w:val="000000"/>
          <w:sz w:val="24"/>
        </w:rPr>
        <w:t>矿坑涌水</w:t>
      </w:r>
      <w:r>
        <w:rPr>
          <w:rFonts w:hint="eastAsia"/>
          <w:color w:val="000000"/>
          <w:sz w:val="24"/>
          <w:lang w:eastAsia="zh-CN"/>
        </w:rPr>
        <w:t>、下料仓的矿石淋溶水等，</w:t>
      </w:r>
      <w:r>
        <w:rPr>
          <w:rFonts w:hint="eastAsia"/>
          <w:lang w:val="en-US" w:eastAsia="zh-CN"/>
        </w:rPr>
        <w:t>全部通过汇集到原废石堆场下方设置的废水收集和沉淀池中，一部分废水回用于矿井生产用，剩余全部送选矿厂作生产用水，据池姚街铅锌矿提供资料表示，项目试运行至今，废水产量较少，全部回用，无富余废水送至选矿厂使用。</w:t>
      </w:r>
    </w:p>
    <w:p>
      <w:pPr>
        <w:pStyle w:val="5"/>
        <w:rPr>
          <w:rFonts w:hint="eastAsia"/>
          <w:lang w:val="en-US" w:eastAsia="zh-CN"/>
        </w:rPr>
      </w:pPr>
      <w:r>
        <w:rPr>
          <w:rFonts w:hint="eastAsia"/>
          <w:lang w:val="en-US" w:eastAsia="zh-CN"/>
        </w:rPr>
        <w:t>7.3.2废水监测内容</w:t>
      </w:r>
    </w:p>
    <w:p>
      <w:pPr>
        <w:ind w:firstLine="480" w:firstLineChars="200"/>
        <w:rPr>
          <w:rFonts w:hint="eastAsia"/>
          <w:color w:val="FF0000"/>
          <w:lang w:val="en-US" w:eastAsia="zh-CN"/>
        </w:rPr>
      </w:pPr>
      <w:r>
        <w:rPr>
          <w:rFonts w:hint="eastAsia"/>
          <w:lang w:val="en-US" w:eastAsia="zh-CN"/>
        </w:rPr>
        <w:t>废水监测具体内容见表7.3</w:t>
      </w:r>
      <w:r>
        <w:rPr>
          <w:rFonts w:hint="eastAsia"/>
          <w:color w:val="auto"/>
          <w:lang w:val="en-US" w:eastAsia="zh-CN"/>
        </w:rPr>
        <w:t>-1，监测点位见图7.1-1。</w:t>
      </w:r>
    </w:p>
    <w:p>
      <w:pPr>
        <w:jc w:val="center"/>
        <w:rPr>
          <w:rFonts w:hint="eastAsia"/>
          <w:b/>
          <w:bCs/>
          <w:sz w:val="21"/>
          <w:szCs w:val="21"/>
          <w:lang w:val="en-US" w:eastAsia="zh-CN"/>
        </w:rPr>
      </w:pPr>
      <w:r>
        <w:rPr>
          <w:rFonts w:hint="eastAsia"/>
          <w:b/>
          <w:bCs/>
          <w:sz w:val="21"/>
          <w:szCs w:val="21"/>
          <w:lang w:val="en-US" w:eastAsia="zh-CN"/>
        </w:rPr>
        <w:t>表7.3-1 废水监测内容</w:t>
      </w:r>
    </w:p>
    <w:tbl>
      <w:tblPr>
        <w:tblStyle w:val="17"/>
        <w:tblW w:w="8516" w:type="dxa"/>
        <w:jc w:val="center"/>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27"/>
        <w:gridCol w:w="648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2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废水类别</w:t>
            </w:r>
          </w:p>
        </w:tc>
        <w:tc>
          <w:tcPr>
            <w:tcW w:w="648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生产废水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2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监测点位</w:t>
            </w:r>
          </w:p>
        </w:tc>
        <w:tc>
          <w:tcPr>
            <w:tcW w:w="648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1</w:t>
            </w:r>
            <w:r>
              <w:rPr>
                <w:rFonts w:hint="default" w:ascii="Times New Roman" w:hAnsi="Times New Roman" w:eastAsia="宋体" w:cs="Times New Roman"/>
                <w:sz w:val="21"/>
                <w:szCs w:val="21"/>
                <w:vertAlign w:val="baseline"/>
                <w:lang w:val="en-US" w:eastAsia="zh-CN"/>
              </w:rPr>
              <w:t>#</w:t>
            </w:r>
            <w:r>
              <w:rPr>
                <w:rFonts w:hint="eastAsia"/>
                <w:sz w:val="21"/>
                <w:szCs w:val="21"/>
                <w:vertAlign w:val="baseline"/>
                <w:lang w:val="en-US" w:eastAsia="zh-CN"/>
              </w:rPr>
              <w:t>沉淀池FS1、2#沉淀池FS2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2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监测因子</w:t>
            </w:r>
          </w:p>
        </w:tc>
        <w:tc>
          <w:tcPr>
            <w:tcW w:w="648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pH、COD、NH</w:t>
            </w:r>
            <w:r>
              <w:rPr>
                <w:rFonts w:hint="eastAsia"/>
                <w:sz w:val="21"/>
                <w:szCs w:val="21"/>
                <w:vertAlign w:val="subscript"/>
                <w:lang w:val="en-US" w:eastAsia="zh-CN"/>
              </w:rPr>
              <w:t>3</w:t>
            </w:r>
            <w:r>
              <w:rPr>
                <w:rFonts w:hint="eastAsia"/>
                <w:sz w:val="21"/>
                <w:szCs w:val="21"/>
                <w:vertAlign w:val="baseline"/>
                <w:lang w:val="en-US" w:eastAsia="zh-CN"/>
              </w:rPr>
              <w:t>-N、SS、总砷、总铅、总锌、硫化物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2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监测频次及周期</w:t>
            </w:r>
          </w:p>
        </w:tc>
        <w:tc>
          <w:tcPr>
            <w:tcW w:w="648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一天三次，监测两天</w:t>
            </w:r>
          </w:p>
        </w:tc>
      </w:tr>
    </w:tbl>
    <w:p>
      <w:pPr>
        <w:pStyle w:val="5"/>
        <w:rPr>
          <w:rFonts w:hint="eastAsia"/>
          <w:lang w:val="en-US" w:eastAsia="zh-CN"/>
        </w:rPr>
      </w:pPr>
    </w:p>
    <w:p>
      <w:pPr>
        <w:pStyle w:val="5"/>
        <w:rPr>
          <w:rFonts w:hint="eastAsia"/>
          <w:lang w:val="en-US" w:eastAsia="zh-CN"/>
        </w:rPr>
      </w:pPr>
      <w:r>
        <w:rPr>
          <w:rFonts w:hint="eastAsia"/>
          <w:lang w:val="en-US" w:eastAsia="zh-CN"/>
        </w:rPr>
        <w:t>7.3.3水监测质量控制</w:t>
      </w:r>
    </w:p>
    <w:p>
      <w:pPr>
        <w:ind w:firstLine="480" w:firstLineChars="200"/>
        <w:rPr>
          <w:rFonts w:hint="eastAsia"/>
          <w:lang w:val="en-US" w:eastAsia="zh-CN"/>
        </w:rPr>
      </w:pPr>
      <w:r>
        <w:rPr>
          <w:rFonts w:hint="eastAsia"/>
          <w:lang w:val="en-US" w:eastAsia="zh-CN"/>
        </w:rPr>
        <w:t>水样的采集、运输、保存、实验室分析和数据计算的全过程均照《地表水和废水监测技术规范》（HJ/T 91-2002）的要求进行。即做到：所以监测人员持证上岗，监测仪器设备经计量检定合格并在有效期内。采样时每个环节设专人负责，各点各项测试时，加测10%以上平行样，10%密码样，监测数据按规定进行处理，并经过三级审核。</w:t>
      </w:r>
    </w:p>
    <w:p>
      <w:pPr>
        <w:pStyle w:val="5"/>
        <w:rPr>
          <w:rFonts w:hint="eastAsia"/>
          <w:lang w:val="en-US" w:eastAsia="zh-CN"/>
        </w:rPr>
      </w:pPr>
      <w:r>
        <w:rPr>
          <w:rFonts w:hint="eastAsia"/>
          <w:lang w:val="en-US" w:eastAsia="zh-CN"/>
        </w:rPr>
        <w:t>7.3.4废水监测结果与分析</w:t>
      </w:r>
    </w:p>
    <w:p>
      <w:pPr>
        <w:ind w:firstLine="480" w:firstLineChars="200"/>
        <w:jc w:val="left"/>
        <w:rPr>
          <w:rFonts w:hint="eastAsia"/>
          <w:lang w:val="en-US" w:eastAsia="zh-CN"/>
        </w:rPr>
      </w:pPr>
      <w:r>
        <w:rPr>
          <w:rFonts w:hint="eastAsia" w:ascii="Times New Roman" w:hAnsi="Times New Roman" w:cs="Times New Roman"/>
          <w:b w:val="0"/>
          <w:bCs/>
          <w:sz w:val="24"/>
          <w:szCs w:val="24"/>
          <w:lang w:eastAsia="zh-CN"/>
        </w:rPr>
        <w:t>废水监测结果详见表</w:t>
      </w:r>
      <w:r>
        <w:rPr>
          <w:rFonts w:hint="eastAsia" w:cs="Times New Roman"/>
          <w:b w:val="0"/>
          <w:bCs/>
          <w:sz w:val="24"/>
          <w:szCs w:val="24"/>
          <w:lang w:val="en-US" w:eastAsia="zh-CN"/>
        </w:rPr>
        <w:t>7.3-2</w:t>
      </w:r>
      <w:r>
        <w:rPr>
          <w:rFonts w:hint="eastAsia" w:ascii="Times New Roman" w:hAnsi="Times New Roman" w:cs="Times New Roman"/>
          <w:b w:val="0"/>
          <w:bCs/>
          <w:sz w:val="24"/>
          <w:szCs w:val="24"/>
          <w:lang w:val="en-US" w:eastAsia="zh-CN"/>
        </w:rPr>
        <w:t>。</w:t>
      </w:r>
    </w:p>
    <w:p>
      <w:pPr>
        <w:jc w:val="center"/>
        <w:rPr>
          <w:rFonts w:hint="default" w:ascii="Times New Roman" w:hAnsi="Times New Roman" w:cs="Times New Roman"/>
          <w:sz w:val="21"/>
          <w:szCs w:val="21"/>
        </w:rPr>
      </w:pPr>
      <w:r>
        <w:rPr>
          <w:rFonts w:hint="default" w:ascii="Times New Roman" w:hAnsi="Times New Roman" w:cs="Times New Roman"/>
          <w:b/>
          <w:sz w:val="21"/>
          <w:szCs w:val="21"/>
        </w:rPr>
        <w:t>表</w:t>
      </w:r>
      <w:r>
        <w:rPr>
          <w:rFonts w:hint="eastAsia" w:cs="Times New Roman"/>
          <w:b/>
          <w:sz w:val="21"/>
          <w:szCs w:val="21"/>
          <w:lang w:val="en-US" w:eastAsia="zh-CN"/>
        </w:rPr>
        <w:t>7.3-2</w:t>
      </w:r>
      <w:r>
        <w:rPr>
          <w:rFonts w:hint="default" w:ascii="Times New Roman" w:hAnsi="Times New Roman" w:cs="Times New Roman"/>
          <w:b/>
          <w:sz w:val="21"/>
          <w:szCs w:val="21"/>
        </w:rPr>
        <w:t xml:space="preserve"> </w:t>
      </w:r>
      <w:r>
        <w:rPr>
          <w:rFonts w:hint="default" w:ascii="Times New Roman" w:hAnsi="Times New Roman" w:cs="Times New Roman"/>
          <w:b/>
          <w:sz w:val="21"/>
          <w:szCs w:val="21"/>
          <w:lang w:val="en-US" w:eastAsia="zh-CN"/>
        </w:rPr>
        <w:t>废水</w:t>
      </w:r>
      <w:r>
        <w:rPr>
          <w:rFonts w:hint="default" w:ascii="Times New Roman" w:hAnsi="Times New Roman" w:cs="Times New Roman"/>
          <w:b/>
          <w:sz w:val="21"/>
          <w:szCs w:val="21"/>
        </w:rPr>
        <w:t>监测结果统计表</w:t>
      </w:r>
    </w:p>
    <w:tbl>
      <w:tblPr>
        <w:tblStyle w:val="16"/>
        <w:tblW w:w="9251" w:type="dxa"/>
        <w:jc w:val="center"/>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1"/>
        <w:gridCol w:w="1081"/>
        <w:gridCol w:w="915"/>
        <w:gridCol w:w="641"/>
        <w:gridCol w:w="711"/>
        <w:gridCol w:w="795"/>
        <w:gridCol w:w="686"/>
        <w:gridCol w:w="894"/>
        <w:gridCol w:w="806"/>
        <w:gridCol w:w="855"/>
        <w:gridCol w:w="100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9251" w:type="dxa"/>
            <w:gridSpan w:val="11"/>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监测类别：废水（单位：除注明外，其它均为mg/L，pH无量纲）</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tcBorders>
              <w:tl2br w:val="nil"/>
              <w:tr2bl w:val="nil"/>
            </w:tcBorders>
            <w:vAlign w:val="center"/>
          </w:tcPr>
          <w:p>
            <w:pPr>
              <w:keepNext w:val="0"/>
              <w:keepLines w:val="0"/>
              <w:suppressLineNumbers w:val="0"/>
              <w:snapToGrid w:val="0"/>
              <w:spacing w:before="0" w:beforeAutospacing="0" w:after="0" w:afterAutospacing="0" w:line="240" w:lineRule="auto"/>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监测</w:t>
            </w:r>
          </w:p>
          <w:p>
            <w:pPr>
              <w:keepNext w:val="0"/>
              <w:keepLines w:val="0"/>
              <w:suppressLineNumbers w:val="0"/>
              <w:snapToGrid w:val="0"/>
              <w:spacing w:before="0" w:beforeAutospacing="0" w:after="0" w:afterAutospacing="0" w:line="240" w:lineRule="auto"/>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en-US" w:eastAsia="zh-CN"/>
              </w:rPr>
              <w:t>点位</w:t>
            </w:r>
          </w:p>
        </w:tc>
        <w:tc>
          <w:tcPr>
            <w:tcW w:w="1996" w:type="dxa"/>
            <w:gridSpan w:val="2"/>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rPr>
              <w:t>采样</w:t>
            </w:r>
            <w:r>
              <w:rPr>
                <w:rFonts w:hint="default" w:ascii="Times New Roman" w:hAnsi="Times New Roman" w:cs="Times New Roman"/>
                <w:b/>
                <w:bCs/>
                <w:sz w:val="21"/>
                <w:szCs w:val="21"/>
                <w:lang w:val="en-US" w:eastAsia="zh-CN"/>
              </w:rPr>
              <w:t>时间</w:t>
            </w:r>
          </w:p>
        </w:tc>
        <w:tc>
          <w:tcPr>
            <w:tcW w:w="641"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pH</w:t>
            </w:r>
          </w:p>
        </w:tc>
        <w:tc>
          <w:tcPr>
            <w:tcW w:w="711"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COD</w:t>
            </w:r>
          </w:p>
        </w:tc>
        <w:tc>
          <w:tcPr>
            <w:tcW w:w="79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氨氮</w:t>
            </w:r>
          </w:p>
        </w:tc>
        <w:tc>
          <w:tcPr>
            <w:tcW w:w="68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SS</w:t>
            </w:r>
          </w:p>
        </w:tc>
        <w:tc>
          <w:tcPr>
            <w:tcW w:w="89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硫化物</w:t>
            </w:r>
          </w:p>
        </w:tc>
        <w:tc>
          <w:tcPr>
            <w:tcW w:w="80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铅</w:t>
            </w:r>
          </w:p>
        </w:tc>
        <w:tc>
          <w:tcPr>
            <w:tcW w:w="85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锌</w:t>
            </w:r>
          </w:p>
        </w:tc>
        <w:tc>
          <w:tcPr>
            <w:tcW w:w="1006"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砷</w:t>
            </w:r>
          </w:p>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lang w:val="en-US" w:eastAsia="zh-CN"/>
              </w:rPr>
            </w:pPr>
            <w:r>
              <w:rPr>
                <w:rFonts w:hint="default" w:ascii="Times New Roman" w:hAnsi="Times New Roman" w:eastAsia="宋体" w:cs="Times New Roman"/>
                <w:b/>
                <w:bCs/>
                <w:sz w:val="21"/>
                <w:szCs w:val="21"/>
                <w:lang w:val="en-US" w:eastAsia="zh-CN"/>
              </w:rPr>
              <w:t>（μg/L）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bookmarkStart w:id="281" w:name="OLE_LINK3" w:colFirst="7" w:colLast="7"/>
            <w:r>
              <w:rPr>
                <w:rFonts w:hint="default" w:ascii="Times New Roman" w:hAnsi="Times New Roman" w:eastAsia="宋体" w:cs="Times New Roman"/>
                <w:sz w:val="21"/>
                <w:szCs w:val="21"/>
                <w:lang w:val="en-US" w:eastAsia="zh-CN"/>
              </w:rPr>
              <w:t>1#</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沉淀池</w:t>
            </w:r>
          </w:p>
        </w:tc>
        <w:tc>
          <w:tcPr>
            <w:tcW w:w="1081" w:type="dxa"/>
            <w:vMerge w:val="restart"/>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2017.10.8</w:t>
            </w: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第一次</w:t>
            </w:r>
          </w:p>
        </w:tc>
        <w:tc>
          <w:tcPr>
            <w:tcW w:w="641"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711"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w:t>
            </w:r>
          </w:p>
        </w:tc>
        <w:tc>
          <w:tcPr>
            <w:tcW w:w="795"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0.245</w:t>
            </w:r>
          </w:p>
        </w:tc>
        <w:tc>
          <w:tcPr>
            <w:tcW w:w="686"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both"/>
              <w:textAlignment w:val="center"/>
              <w:rPr>
                <w:rFonts w:hint="eastAsia"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9.5</w:t>
            </w:r>
          </w:p>
        </w:tc>
      </w:tr>
      <w:bookmarkEnd w:id="281"/>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cs="Times New Roman"/>
                <w:sz w:val="21"/>
                <w:szCs w:val="21"/>
              </w:rPr>
            </w:pPr>
          </w:p>
        </w:tc>
        <w:tc>
          <w:tcPr>
            <w:tcW w:w="108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第二次</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8.1</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0.258</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108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第三次</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8.0</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0.273</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ND</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108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第四次</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7.9</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19</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0.265</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1081" w:type="dxa"/>
            <w:vMerge w:val="restart"/>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2017.10.9</w:t>
            </w: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第一次</w:t>
            </w:r>
          </w:p>
        </w:tc>
        <w:tc>
          <w:tcPr>
            <w:tcW w:w="641"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7.9</w:t>
            </w:r>
          </w:p>
        </w:tc>
        <w:tc>
          <w:tcPr>
            <w:tcW w:w="711"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795"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0.287</w:t>
            </w:r>
          </w:p>
        </w:tc>
        <w:tc>
          <w:tcPr>
            <w:tcW w:w="686"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cs="Times New Roman"/>
                <w:sz w:val="21"/>
                <w:szCs w:val="21"/>
              </w:rPr>
            </w:pPr>
          </w:p>
        </w:tc>
        <w:tc>
          <w:tcPr>
            <w:tcW w:w="108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第二次</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8.1</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0.293</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108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第三次</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8.0</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0.268</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108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第四次</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8.0</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19</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0.276</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沉淀池</w:t>
            </w:r>
          </w:p>
        </w:tc>
        <w:tc>
          <w:tcPr>
            <w:tcW w:w="1081" w:type="dxa"/>
            <w:vMerge w:val="restart"/>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2017.10.8</w:t>
            </w: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第一次</w:t>
            </w:r>
          </w:p>
        </w:tc>
        <w:tc>
          <w:tcPr>
            <w:tcW w:w="641"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7.8</w:t>
            </w:r>
          </w:p>
        </w:tc>
        <w:tc>
          <w:tcPr>
            <w:tcW w:w="711"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w:t>
            </w:r>
          </w:p>
        </w:tc>
        <w:tc>
          <w:tcPr>
            <w:tcW w:w="795"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0.242</w:t>
            </w:r>
          </w:p>
        </w:tc>
        <w:tc>
          <w:tcPr>
            <w:tcW w:w="686"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4</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cs="Times New Roman"/>
                <w:sz w:val="21"/>
                <w:szCs w:val="21"/>
              </w:rPr>
            </w:pPr>
          </w:p>
        </w:tc>
        <w:tc>
          <w:tcPr>
            <w:tcW w:w="108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第二次</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7.7</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26</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0.253</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108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第三次</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7.7</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0.234</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left"/>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108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第四次</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7.8</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0.249</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ND</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1081" w:type="dxa"/>
            <w:vMerge w:val="restart"/>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2017.10.9</w:t>
            </w: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第一次</w:t>
            </w:r>
          </w:p>
        </w:tc>
        <w:tc>
          <w:tcPr>
            <w:tcW w:w="641"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7.8</w:t>
            </w:r>
          </w:p>
        </w:tc>
        <w:tc>
          <w:tcPr>
            <w:tcW w:w="711"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w:t>
            </w:r>
          </w:p>
        </w:tc>
        <w:tc>
          <w:tcPr>
            <w:tcW w:w="795"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0.258</w:t>
            </w:r>
          </w:p>
        </w:tc>
        <w:tc>
          <w:tcPr>
            <w:tcW w:w="686"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ND</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8.7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cs="Times New Roman"/>
                <w:sz w:val="21"/>
                <w:szCs w:val="21"/>
              </w:rPr>
            </w:pPr>
          </w:p>
        </w:tc>
        <w:tc>
          <w:tcPr>
            <w:tcW w:w="108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第二次</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7.7</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19</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0.266</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108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第三次</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7.9</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0.271</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6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1081" w:type="dxa"/>
            <w:vMerge w:val="continue"/>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p>
        </w:tc>
        <w:tc>
          <w:tcPr>
            <w:tcW w:w="91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第四次</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7.8</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0.280</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0.005</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857" w:type="dxa"/>
            <w:gridSpan w:val="3"/>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eastAsia" w:ascii="Times New Roman" w:hAnsi="Times New Roman" w:cs="Times New Roman"/>
                <w:b/>
                <w:bCs/>
                <w:sz w:val="21"/>
                <w:szCs w:val="21"/>
                <w:lang w:val="en-US" w:eastAsia="zh-CN"/>
              </w:rPr>
              <w:t>标准值</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6-9</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60</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8</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50</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ascii="Times New Roman" w:hAnsi="Times New Roman" w:cs="Times New Roman"/>
                <w:b/>
                <w:bCs/>
                <w:i w:val="0"/>
                <w:color w:val="auto"/>
                <w:kern w:val="0"/>
                <w:sz w:val="21"/>
                <w:szCs w:val="21"/>
                <w:u w:val="none"/>
                <w:lang w:val="en-US" w:eastAsia="zh-CN" w:bidi="ar"/>
              </w:rPr>
            </w:pPr>
            <w:r>
              <w:rPr>
                <w:rFonts w:hint="eastAsia" w:cs="Times New Roman"/>
                <w:b/>
                <w:bCs/>
                <w:i w:val="0"/>
                <w:color w:val="auto"/>
                <w:kern w:val="0"/>
                <w:sz w:val="21"/>
                <w:szCs w:val="21"/>
                <w:u w:val="none"/>
                <w:lang w:val="en-US" w:eastAsia="zh-CN" w:bidi="ar"/>
              </w:rPr>
              <w:t>1.0</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ascii="Times New Roman" w:hAnsi="Times New Roman" w:cs="Times New Roman"/>
                <w:b/>
                <w:bCs/>
                <w:i w:val="0"/>
                <w:color w:val="auto"/>
                <w:kern w:val="0"/>
                <w:sz w:val="21"/>
                <w:szCs w:val="21"/>
                <w:u w:val="none"/>
                <w:lang w:val="en-US" w:eastAsia="zh-CN" w:bidi="ar"/>
              </w:rPr>
            </w:pPr>
            <w:r>
              <w:rPr>
                <w:rFonts w:hint="eastAsia" w:cs="Times New Roman"/>
                <w:b/>
                <w:bCs/>
                <w:i w:val="0"/>
                <w:color w:val="auto"/>
                <w:kern w:val="0"/>
                <w:sz w:val="21"/>
                <w:szCs w:val="21"/>
                <w:u w:val="none"/>
                <w:lang w:val="en-US" w:eastAsia="zh-CN" w:bidi="ar"/>
              </w:rPr>
              <w:t>0.5</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ascii="Times New Roman" w:hAnsi="Times New Roman" w:cs="Times New Roman"/>
                <w:b/>
                <w:bCs/>
                <w:i w:val="0"/>
                <w:color w:val="auto"/>
                <w:kern w:val="0"/>
                <w:sz w:val="21"/>
                <w:szCs w:val="21"/>
                <w:u w:val="none"/>
                <w:lang w:val="en-US" w:eastAsia="zh-CN" w:bidi="ar"/>
              </w:rPr>
            </w:pPr>
            <w:r>
              <w:rPr>
                <w:rFonts w:hint="eastAsia" w:cs="Times New Roman"/>
                <w:b/>
                <w:bCs/>
                <w:i w:val="0"/>
                <w:color w:val="auto"/>
                <w:kern w:val="0"/>
                <w:sz w:val="21"/>
                <w:szCs w:val="21"/>
                <w:u w:val="none"/>
                <w:lang w:val="en-US" w:eastAsia="zh-CN" w:bidi="ar"/>
              </w:rPr>
              <w:t>1.5</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300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857" w:type="dxa"/>
            <w:gridSpan w:val="3"/>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sz w:val="21"/>
                <w:szCs w:val="21"/>
                <w:lang w:val="en-US" w:eastAsia="zh-CN"/>
              </w:rPr>
            </w:pPr>
            <w:r>
              <w:rPr>
                <w:rFonts w:hint="eastAsia" w:ascii="Times New Roman" w:hAnsi="Times New Roman" w:cs="Times New Roman"/>
                <w:b/>
                <w:bCs/>
                <w:sz w:val="21"/>
                <w:szCs w:val="21"/>
                <w:lang w:val="en-US" w:eastAsia="zh-CN"/>
              </w:rPr>
              <w:t>达标情况</w:t>
            </w:r>
          </w:p>
        </w:tc>
        <w:tc>
          <w:tcPr>
            <w:tcW w:w="64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c>
          <w:tcPr>
            <w:tcW w:w="711"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c>
          <w:tcPr>
            <w:tcW w:w="795"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c>
          <w:tcPr>
            <w:tcW w:w="68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c>
          <w:tcPr>
            <w:tcW w:w="894" w:type="dxa"/>
            <w:tcBorders>
              <w:tl2br w:val="nil"/>
              <w:tr2bl w:val="nil"/>
            </w:tcBorders>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ascii="Times New Roman" w:hAnsi="Times New Roman" w:cs="Times New Roman"/>
                <w:b/>
                <w:bCs/>
                <w:i w:val="0"/>
                <w:color w:val="auto"/>
                <w:kern w:val="0"/>
                <w:sz w:val="21"/>
                <w:szCs w:val="21"/>
                <w:u w:val="none"/>
                <w:lang w:val="en-US" w:eastAsia="zh-CN" w:bidi="ar"/>
              </w:rPr>
            </w:pPr>
            <w:r>
              <w:rPr>
                <w:rFonts w:hint="eastAsia" w:ascii="Times New Roman" w:hAnsi="Times New Roman" w:cs="Times New Roman"/>
                <w:b/>
                <w:bCs/>
                <w:sz w:val="21"/>
                <w:szCs w:val="21"/>
                <w:lang w:val="en-US" w:eastAsia="zh-CN"/>
              </w:rPr>
              <w:t>达标</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ascii="Times New Roman" w:hAnsi="Times New Roman" w:cs="Times New Roman"/>
                <w:b/>
                <w:bCs/>
                <w:i w:val="0"/>
                <w:color w:val="auto"/>
                <w:kern w:val="0"/>
                <w:sz w:val="21"/>
                <w:szCs w:val="21"/>
                <w:u w:val="none"/>
                <w:lang w:val="en-US" w:eastAsia="zh-CN" w:bidi="ar"/>
              </w:rPr>
            </w:pPr>
            <w:r>
              <w:rPr>
                <w:rFonts w:hint="eastAsia" w:ascii="Times New Roman" w:hAnsi="Times New Roman" w:cs="Times New Roman"/>
                <w:b/>
                <w:bCs/>
                <w:sz w:val="21"/>
                <w:szCs w:val="21"/>
                <w:lang w:val="en-US" w:eastAsia="zh-CN"/>
              </w:rPr>
              <w:t>达标</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ascii="Times New Roman" w:hAnsi="Times New Roman" w:cs="Times New Roman"/>
                <w:b/>
                <w:bCs/>
                <w:i w:val="0"/>
                <w:color w:val="auto"/>
                <w:kern w:val="0"/>
                <w:sz w:val="21"/>
                <w:szCs w:val="21"/>
                <w:u w:val="none"/>
                <w:lang w:val="en-US" w:eastAsia="zh-CN" w:bidi="ar"/>
              </w:rPr>
            </w:pPr>
            <w:r>
              <w:rPr>
                <w:rFonts w:hint="eastAsia" w:ascii="Times New Roman" w:hAnsi="Times New Roman" w:cs="Times New Roman"/>
                <w:b/>
                <w:bCs/>
                <w:sz w:val="21"/>
                <w:szCs w:val="21"/>
                <w:lang w:val="en-US" w:eastAsia="zh-CN"/>
              </w:rPr>
              <w:t>达标</w:t>
            </w:r>
          </w:p>
        </w:tc>
        <w:tc>
          <w:tcPr>
            <w:tcW w:w="1006" w:type="dxa"/>
            <w:tcBorders>
              <w:tl2br w:val="nil"/>
              <w:tr2bl w:val="nil"/>
            </w:tcBorders>
            <w:vAlign w:val="center"/>
          </w:tcPr>
          <w:p>
            <w:pPr>
              <w:pStyle w:val="25"/>
              <w:keepNext w:val="0"/>
              <w:keepLines w:val="0"/>
              <w:suppressLineNumbers w:val="0"/>
              <w:spacing w:beforeAutospacing="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r>
    </w:tbl>
    <w:p>
      <w:pPr>
        <w:ind w:firstLine="480" w:firstLineChars="200"/>
        <w:rPr>
          <w:rFonts w:hint="eastAsia"/>
          <w:color w:val="auto"/>
          <w:lang w:val="en-US" w:eastAsia="zh-CN"/>
        </w:rPr>
      </w:pPr>
      <w:r>
        <w:rPr>
          <w:rFonts w:hint="eastAsia"/>
          <w:lang w:eastAsia="zh-CN"/>
        </w:rPr>
        <w:t>由表中数据可知，</w:t>
      </w:r>
      <w:r>
        <w:rPr>
          <w:rFonts w:hint="eastAsia"/>
          <w:color w:val="auto"/>
          <w:lang w:val="en-US" w:eastAsia="zh-CN"/>
        </w:rPr>
        <w:t>1#和2#沉淀池的废水中各污染物浓度低于《铅、锌工业污染物排放标准》（GB25466-2010）中表2标准。</w:t>
      </w:r>
    </w:p>
    <w:p>
      <w:pPr>
        <w:pStyle w:val="2"/>
        <w:ind w:firstLine="480" w:firstLineChars="200"/>
        <w:rPr>
          <w:rFonts w:hint="eastAsia"/>
          <w:color w:val="auto"/>
          <w:lang w:val="en-US" w:eastAsia="zh-CN"/>
        </w:rPr>
      </w:pPr>
      <w:r>
        <w:rPr>
          <w:rFonts w:hint="eastAsia"/>
          <w:color w:val="auto"/>
          <w:lang w:val="en-US" w:eastAsia="zh-CN"/>
        </w:rPr>
        <w:t>因项目生产废水经沉淀池处理之后均能达到标准，因此对废水未采取进一步处理措施。</w:t>
      </w:r>
    </w:p>
    <w:p>
      <w:pPr>
        <w:pStyle w:val="5"/>
        <w:rPr>
          <w:rFonts w:hint="eastAsia"/>
          <w:color w:val="auto"/>
          <w:lang w:val="en-US" w:eastAsia="zh-CN"/>
        </w:rPr>
      </w:pPr>
      <w:r>
        <w:rPr>
          <w:rFonts w:hint="eastAsia"/>
          <w:color w:val="auto"/>
          <w:lang w:val="en-US" w:eastAsia="zh-CN"/>
        </w:rPr>
        <w:t>7.3.5地表水和地下水监测内容</w:t>
      </w:r>
    </w:p>
    <w:p>
      <w:pPr>
        <w:spacing w:beforeLines="0" w:afterLines="0"/>
        <w:ind w:firstLine="480" w:firstLineChars="200"/>
        <w:jc w:val="left"/>
        <w:rPr>
          <w:rFonts w:hint="eastAsia" w:ascii="宋体" w:hAnsi="宋体"/>
          <w:sz w:val="24"/>
          <w:szCs w:val="24"/>
          <w:lang w:eastAsia="zh-CN"/>
        </w:rPr>
      </w:pPr>
      <w:r>
        <w:rPr>
          <w:rFonts w:hint="eastAsia"/>
          <w:color w:val="auto"/>
          <w:lang w:val="en-US" w:eastAsia="zh-CN"/>
        </w:rPr>
        <w:t>项目周边地表水为白洋河，距离较远，附件溪流干涸，因此本次调查未对地</w:t>
      </w:r>
      <w:r>
        <w:rPr>
          <w:rFonts w:hint="eastAsia"/>
          <w:lang w:val="en-US" w:eastAsia="zh-CN"/>
        </w:rPr>
        <w:t>表水质量做详细监测。</w:t>
      </w:r>
      <w:r>
        <w:rPr>
          <w:rFonts w:hint="eastAsia" w:ascii="宋体" w:hAnsi="宋体"/>
          <w:sz w:val="24"/>
          <w:szCs w:val="24"/>
          <w:lang w:eastAsia="zh-CN"/>
        </w:rPr>
        <w:t>由于本项目附近存在居民和地下水井，项目的建设生产可能对地下水的质量造成影响，针对项目建设和生产所产生的污染物，对地下水进行了监测，具体内容如下：</w:t>
      </w:r>
    </w:p>
    <w:p>
      <w:pPr>
        <w:spacing w:beforeLines="0" w:afterLines="0"/>
        <w:ind w:firstLine="422" w:firstLineChars="200"/>
        <w:jc w:val="center"/>
        <w:rPr>
          <w:rFonts w:hint="eastAsia" w:ascii="宋体" w:hAnsi="宋体"/>
          <w:sz w:val="24"/>
          <w:szCs w:val="24"/>
          <w:lang w:eastAsia="zh-CN"/>
        </w:rPr>
      </w:pPr>
      <w:r>
        <w:rPr>
          <w:rFonts w:hint="eastAsia"/>
          <w:b/>
          <w:bCs/>
          <w:sz w:val="21"/>
          <w:szCs w:val="21"/>
          <w:lang w:val="en-US" w:eastAsia="zh-CN"/>
        </w:rPr>
        <w:t>表7.3-3 地下水监测内容</w:t>
      </w:r>
    </w:p>
    <w:tbl>
      <w:tblPr>
        <w:tblStyle w:val="17"/>
        <w:tblW w:w="8516"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43"/>
        <w:gridCol w:w="647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043" w:type="dxa"/>
            <w:tcBorders>
              <w:tl2br w:val="nil"/>
              <w:tr2bl w:val="nil"/>
            </w:tcBorders>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监测点位</w:t>
            </w:r>
          </w:p>
        </w:tc>
        <w:tc>
          <w:tcPr>
            <w:tcW w:w="6473" w:type="dxa"/>
            <w:tcBorders>
              <w:tl2br w:val="nil"/>
              <w:tr2bl w:val="nil"/>
            </w:tcBorders>
            <w:vAlign w:val="center"/>
          </w:tcPr>
          <w:p>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项目西北</w:t>
            </w:r>
            <w:r>
              <w:rPr>
                <w:rFonts w:hint="eastAsia" w:ascii="Times New Roman" w:hAnsi="Times New Roman" w:cs="Times New Roman"/>
                <w:color w:val="auto"/>
                <w:sz w:val="21"/>
                <w:szCs w:val="21"/>
                <w:vertAlign w:val="baseline"/>
                <w:lang w:val="en-US" w:eastAsia="zh-CN"/>
              </w:rPr>
              <w:t>方</w:t>
            </w:r>
            <w:r>
              <w:rPr>
                <w:rFonts w:hint="default" w:ascii="Times New Roman" w:hAnsi="Times New Roman" w:cs="Times New Roman"/>
                <w:color w:val="auto"/>
                <w:sz w:val="21"/>
                <w:szCs w:val="21"/>
                <w:vertAlign w:val="baseline"/>
                <w:lang w:val="en-US" w:eastAsia="zh-CN"/>
              </w:rPr>
              <w:t>425米、1090米及2150米的三口地下水井D1、D2</w:t>
            </w:r>
            <w:r>
              <w:rPr>
                <w:rFonts w:hint="eastAsia" w:ascii="Times New Roman" w:hAnsi="Times New Roman" w:cs="Times New Roman"/>
                <w:color w:val="auto"/>
                <w:sz w:val="21"/>
                <w:szCs w:val="21"/>
                <w:vertAlign w:val="baseline"/>
                <w:lang w:val="en-US" w:eastAsia="zh-CN"/>
              </w:rPr>
              <w:t>、</w:t>
            </w:r>
            <w:r>
              <w:rPr>
                <w:rFonts w:hint="default" w:ascii="Times New Roman" w:hAnsi="Times New Roman" w:cs="Times New Roman"/>
                <w:color w:val="auto"/>
                <w:sz w:val="21"/>
                <w:szCs w:val="21"/>
                <w:vertAlign w:val="baseline"/>
                <w:lang w:val="en-US" w:eastAsia="zh-CN"/>
              </w:rPr>
              <w:t>D3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043" w:type="dxa"/>
            <w:tcBorders>
              <w:tl2br w:val="nil"/>
              <w:tr2bl w:val="nil"/>
            </w:tcBorders>
            <w:vAlign w:val="center"/>
          </w:tcPr>
          <w:p>
            <w:pPr>
              <w:keepNext w:val="0"/>
              <w:keepLines w:val="0"/>
              <w:suppressLineNumbers w:val="0"/>
              <w:spacing w:before="0" w:beforeLines="0" w:beforeAutospacing="0" w:after="0" w:afterLines="0" w:afterAutospacing="0" w:line="240" w:lineRule="auto"/>
              <w:ind w:left="0" w:right="0"/>
              <w:jc w:val="center"/>
              <w:rPr>
                <w:rFonts w:hint="eastAsia" w:ascii="宋体" w:hAnsi="宋体"/>
                <w:b/>
                <w:bCs/>
                <w:color w:val="auto"/>
                <w:sz w:val="21"/>
                <w:szCs w:val="21"/>
                <w:vertAlign w:val="baseline"/>
                <w:lang w:val="en-US" w:eastAsia="zh-CN"/>
              </w:rPr>
            </w:pPr>
            <w:r>
              <w:rPr>
                <w:rFonts w:hint="eastAsia" w:ascii="宋体" w:hAnsi="宋体"/>
                <w:b/>
                <w:bCs/>
                <w:color w:val="auto"/>
                <w:sz w:val="21"/>
                <w:szCs w:val="21"/>
                <w:vertAlign w:val="baseline"/>
                <w:lang w:val="en-US" w:eastAsia="zh-CN"/>
              </w:rPr>
              <w:t>测点经纬度</w:t>
            </w:r>
          </w:p>
        </w:tc>
        <w:tc>
          <w:tcPr>
            <w:tcW w:w="6473" w:type="dxa"/>
            <w:tcBorders>
              <w:tl2br w:val="nil"/>
              <w:tr2bl w:val="nil"/>
            </w:tcBorders>
            <w:vAlign w:val="center"/>
          </w:tcPr>
          <w:p>
            <w:pPr>
              <w:keepNext w:val="0"/>
              <w:keepLines w:val="0"/>
              <w:suppressLineNumbers w:val="0"/>
              <w:spacing w:before="0" w:beforeLines="0" w:beforeAutospacing="0" w:after="0" w:afterLines="0" w:afterAutospacing="0" w:line="240" w:lineRule="auto"/>
              <w:ind w:left="0" w:right="0"/>
              <w:jc w:val="left"/>
              <w:rPr>
                <w:rFonts w:hint="eastAsia" w:ascii="宋体" w:hAnsi="宋体"/>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D1经度117.644628</w:t>
            </w:r>
            <w:r>
              <w:rPr>
                <w:rFonts w:hint="eastAsia" w:ascii="Times New Roman" w:hAnsi="Times New Roman" w:cs="Times New Roman"/>
                <w:color w:val="auto"/>
                <w:sz w:val="21"/>
                <w:szCs w:val="21"/>
                <w:vertAlign w:val="baseline"/>
                <w:lang w:val="en-US" w:eastAsia="zh-CN"/>
              </w:rPr>
              <w:t>，</w:t>
            </w:r>
            <w:r>
              <w:rPr>
                <w:rFonts w:hint="default" w:ascii="Times New Roman" w:hAnsi="Times New Roman" w:cs="Times New Roman"/>
                <w:color w:val="auto"/>
                <w:sz w:val="21"/>
                <w:szCs w:val="21"/>
                <w:vertAlign w:val="baseline"/>
                <w:lang w:val="en-US" w:eastAsia="zh-CN"/>
              </w:rPr>
              <w:t>纬度30.415533</w:t>
            </w:r>
            <w:r>
              <w:rPr>
                <w:rFonts w:hint="eastAsia" w:ascii="Times New Roman" w:hAnsi="Times New Roman" w:cs="Times New Roman"/>
                <w:color w:val="auto"/>
                <w:sz w:val="21"/>
                <w:szCs w:val="21"/>
                <w:vertAlign w:val="baseline"/>
                <w:lang w:val="en-US" w:eastAsia="zh-CN"/>
              </w:rPr>
              <w:t>；</w:t>
            </w:r>
            <w:r>
              <w:rPr>
                <w:rFonts w:hint="default" w:ascii="Times New Roman" w:hAnsi="Times New Roman" w:cs="Times New Roman"/>
                <w:color w:val="auto"/>
                <w:sz w:val="21"/>
                <w:szCs w:val="21"/>
                <w:vertAlign w:val="baseline"/>
                <w:lang w:val="en-US" w:eastAsia="zh-CN"/>
              </w:rPr>
              <w:t>D2经度117.640128</w:t>
            </w:r>
            <w:r>
              <w:rPr>
                <w:rFonts w:hint="eastAsia" w:ascii="Times New Roman" w:hAnsi="Times New Roman" w:cs="Times New Roman"/>
                <w:color w:val="auto"/>
                <w:sz w:val="21"/>
                <w:szCs w:val="21"/>
                <w:vertAlign w:val="baseline"/>
                <w:lang w:val="en-US" w:eastAsia="zh-CN"/>
              </w:rPr>
              <w:t>，</w:t>
            </w:r>
            <w:r>
              <w:rPr>
                <w:rFonts w:hint="default" w:ascii="Times New Roman" w:hAnsi="Times New Roman" w:cs="Times New Roman"/>
                <w:color w:val="auto"/>
                <w:sz w:val="21"/>
                <w:szCs w:val="21"/>
                <w:vertAlign w:val="baseline"/>
                <w:lang w:val="en-US" w:eastAsia="zh-CN"/>
              </w:rPr>
              <w:t>纬度30.420094</w:t>
            </w:r>
            <w:r>
              <w:rPr>
                <w:rFonts w:hint="eastAsia" w:ascii="Times New Roman" w:hAnsi="Times New Roman" w:cs="Times New Roman"/>
                <w:color w:val="auto"/>
                <w:sz w:val="21"/>
                <w:szCs w:val="21"/>
                <w:vertAlign w:val="baseline"/>
                <w:lang w:val="en-US" w:eastAsia="zh-CN"/>
              </w:rPr>
              <w:t>；</w:t>
            </w:r>
            <w:r>
              <w:rPr>
                <w:rFonts w:hint="default" w:ascii="Times New Roman" w:hAnsi="Times New Roman" w:cs="Times New Roman"/>
                <w:color w:val="auto"/>
                <w:sz w:val="21"/>
                <w:szCs w:val="21"/>
                <w:vertAlign w:val="baseline"/>
                <w:lang w:val="en-US" w:eastAsia="zh-CN"/>
              </w:rPr>
              <w:t>D3经度117.636134</w:t>
            </w:r>
            <w:r>
              <w:rPr>
                <w:rFonts w:hint="eastAsia" w:ascii="Times New Roman" w:hAnsi="Times New Roman" w:cs="Times New Roman"/>
                <w:color w:val="auto"/>
                <w:sz w:val="21"/>
                <w:szCs w:val="21"/>
                <w:vertAlign w:val="baseline"/>
                <w:lang w:val="en-US" w:eastAsia="zh-CN"/>
              </w:rPr>
              <w:t>，</w:t>
            </w:r>
            <w:r>
              <w:rPr>
                <w:rFonts w:hint="default" w:ascii="Times New Roman" w:hAnsi="Times New Roman" w:cs="Times New Roman"/>
                <w:color w:val="auto"/>
                <w:sz w:val="21"/>
                <w:szCs w:val="21"/>
                <w:vertAlign w:val="baseline"/>
                <w:lang w:val="en-US" w:eastAsia="zh-CN"/>
              </w:rPr>
              <w:t>纬度30.429405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043" w:type="dxa"/>
            <w:tcBorders>
              <w:tl2br w:val="nil"/>
              <w:tr2bl w:val="nil"/>
            </w:tcBorders>
            <w:vAlign w:val="center"/>
          </w:tcPr>
          <w:p>
            <w:pPr>
              <w:keepNext w:val="0"/>
              <w:keepLines w:val="0"/>
              <w:suppressLineNumbers w:val="0"/>
              <w:spacing w:before="0" w:beforeLines="0" w:beforeAutospacing="0" w:after="0" w:afterLines="0" w:afterAutospacing="0" w:line="240" w:lineRule="auto"/>
              <w:ind w:left="0" w:right="0"/>
              <w:jc w:val="center"/>
              <w:rPr>
                <w:rFonts w:hint="eastAsia" w:ascii="宋体" w:hAnsi="宋体"/>
                <w:b/>
                <w:bCs/>
                <w:sz w:val="21"/>
                <w:szCs w:val="21"/>
                <w:vertAlign w:val="baseline"/>
                <w:lang w:val="en-US" w:eastAsia="zh-CN"/>
              </w:rPr>
            </w:pPr>
            <w:r>
              <w:rPr>
                <w:rFonts w:hint="eastAsia" w:ascii="宋体" w:hAnsi="宋体"/>
                <w:b/>
                <w:bCs/>
                <w:sz w:val="21"/>
                <w:szCs w:val="21"/>
                <w:vertAlign w:val="baseline"/>
                <w:lang w:val="en-US" w:eastAsia="zh-CN"/>
              </w:rPr>
              <w:t>监测因子</w:t>
            </w:r>
          </w:p>
        </w:tc>
        <w:tc>
          <w:tcPr>
            <w:tcW w:w="6473" w:type="dxa"/>
            <w:tcBorders>
              <w:tl2br w:val="nil"/>
              <w:tr2bl w:val="nil"/>
            </w:tcBorders>
            <w:vAlign w:val="center"/>
          </w:tcPr>
          <w:p>
            <w:pPr>
              <w:keepNext w:val="0"/>
              <w:keepLines w:val="0"/>
              <w:suppressLineNumbers w:val="0"/>
              <w:spacing w:before="0" w:beforeLines="0" w:beforeAutospacing="0" w:after="0" w:afterLines="0" w:afterAutospacing="0" w:line="240" w:lineRule="auto"/>
              <w:ind w:left="0" w:right="0"/>
              <w:jc w:val="center"/>
              <w:rPr>
                <w:rFonts w:hint="eastAsia" w:ascii="宋体" w:hAnsi="宋体"/>
                <w:sz w:val="21"/>
                <w:szCs w:val="21"/>
                <w:vertAlign w:val="baseline"/>
                <w:lang w:val="en-US" w:eastAsia="zh-CN"/>
              </w:rPr>
            </w:pPr>
            <w:r>
              <w:rPr>
                <w:rFonts w:hint="default" w:ascii="Times New Roman" w:hAnsi="Times New Roman" w:cs="Times New Roman"/>
                <w:sz w:val="21"/>
                <w:szCs w:val="21"/>
                <w:vertAlign w:val="baseline"/>
                <w:lang w:val="en-US" w:eastAsia="zh-CN"/>
              </w:rPr>
              <w:t>pH、总硬度、高锰酸盐指数、硫酸盐、氯化物、氨氮、总铅、总锌</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043" w:type="dxa"/>
            <w:tcBorders>
              <w:tl2br w:val="nil"/>
              <w:tr2bl w:val="nil"/>
            </w:tcBorders>
            <w:vAlign w:val="center"/>
          </w:tcPr>
          <w:p>
            <w:pPr>
              <w:keepNext w:val="0"/>
              <w:keepLines w:val="0"/>
              <w:suppressLineNumbers w:val="0"/>
              <w:spacing w:before="0" w:beforeLines="0" w:beforeAutospacing="0" w:after="0" w:afterLines="0" w:afterAutospacing="0" w:line="240" w:lineRule="auto"/>
              <w:ind w:left="0" w:right="0"/>
              <w:jc w:val="center"/>
              <w:rPr>
                <w:rFonts w:hint="eastAsia" w:ascii="宋体" w:hAnsi="宋体"/>
                <w:b/>
                <w:bCs/>
                <w:sz w:val="21"/>
                <w:szCs w:val="21"/>
                <w:vertAlign w:val="baseline"/>
                <w:lang w:val="en-US" w:eastAsia="zh-CN"/>
              </w:rPr>
            </w:pPr>
            <w:r>
              <w:rPr>
                <w:rFonts w:hint="eastAsia" w:ascii="宋体" w:hAnsi="宋体"/>
                <w:b/>
                <w:bCs/>
                <w:sz w:val="21"/>
                <w:szCs w:val="21"/>
                <w:vertAlign w:val="baseline"/>
                <w:lang w:val="en-US" w:eastAsia="zh-CN"/>
              </w:rPr>
              <w:t>监测频次及周期</w:t>
            </w:r>
          </w:p>
        </w:tc>
        <w:tc>
          <w:tcPr>
            <w:tcW w:w="6473" w:type="dxa"/>
            <w:tcBorders>
              <w:tl2br w:val="nil"/>
              <w:tr2bl w:val="nil"/>
            </w:tcBorders>
            <w:vAlign w:val="center"/>
          </w:tcPr>
          <w:p>
            <w:pPr>
              <w:keepNext w:val="0"/>
              <w:keepLines w:val="0"/>
              <w:suppressLineNumbers w:val="0"/>
              <w:spacing w:before="0" w:beforeLines="0" w:beforeAutospacing="0" w:after="0" w:afterLines="0" w:afterAutospacing="0" w:line="240" w:lineRule="auto"/>
              <w:ind w:left="0" w:right="0"/>
              <w:jc w:val="center"/>
              <w:rPr>
                <w:rFonts w:hint="eastAsia" w:ascii="宋体" w:hAnsi="宋体"/>
                <w:sz w:val="21"/>
                <w:szCs w:val="21"/>
                <w:vertAlign w:val="baseline"/>
                <w:lang w:val="en-US" w:eastAsia="zh-CN"/>
              </w:rPr>
            </w:pPr>
            <w:r>
              <w:rPr>
                <w:rFonts w:hint="eastAsia" w:ascii="宋体" w:hAnsi="宋体"/>
                <w:sz w:val="21"/>
                <w:szCs w:val="21"/>
                <w:vertAlign w:val="baseline"/>
                <w:lang w:val="en-US" w:eastAsia="zh-CN"/>
              </w:rPr>
              <w:t>一天一次，监测两天</w:t>
            </w:r>
          </w:p>
        </w:tc>
      </w:tr>
    </w:tbl>
    <w:p>
      <w:pPr>
        <w:spacing w:beforeLines="0" w:afterLines="0" w:line="360" w:lineRule="auto"/>
        <w:ind w:firstLine="480" w:firstLineChars="200"/>
        <w:jc w:val="left"/>
        <w:rPr>
          <w:rFonts w:hint="eastAsia" w:ascii="Times New Roman" w:hAnsi="Times New Roman" w:cs="Times New Roman"/>
          <w:sz w:val="24"/>
          <w:szCs w:val="24"/>
          <w:lang w:val="en-US" w:eastAsia="zh-CN"/>
        </w:rPr>
      </w:pPr>
      <w:r>
        <w:rPr>
          <w:rFonts w:hint="eastAsia" w:ascii="宋体" w:hAnsi="宋体"/>
          <w:sz w:val="24"/>
          <w:szCs w:val="24"/>
          <w:lang w:val="en-US" w:eastAsia="zh-CN"/>
        </w:rPr>
        <w:t>地下水监测点位分布及离项目地距离详见图</w:t>
      </w:r>
      <w:r>
        <w:rPr>
          <w:rFonts w:hint="default" w:ascii="Times New Roman" w:hAnsi="Times New Roman" w:cs="Times New Roman"/>
          <w:sz w:val="24"/>
          <w:szCs w:val="24"/>
          <w:lang w:val="en-US" w:eastAsia="zh-CN"/>
        </w:rPr>
        <w:t>7.3-1。</w:t>
      </w:r>
    </w:p>
    <w:p>
      <w:pPr>
        <w:pStyle w:val="18"/>
        <w:jc w:val="center"/>
        <w:rPr>
          <w:rFonts w:hint="eastAsia"/>
          <w:lang w:val="en-US" w:eastAsia="zh-CN"/>
        </w:rPr>
      </w:pPr>
      <w:r>
        <w:rPr>
          <w:rFonts w:hint="eastAsia"/>
          <w:lang w:val="en-US" w:eastAsia="zh-CN"/>
        </w:rPr>
        <w:drawing>
          <wp:inline distT="0" distB="0" distL="114300" distR="114300">
            <wp:extent cx="4558030" cy="4286885"/>
            <wp:effectExtent l="0" t="0" r="13970" b="18415"/>
            <wp:docPr id="88" name="图片 88" descr=")VQNNSAROCJ`QHXGO78@Q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VQNNSAROCJ`QHXGO78@Q2H"/>
                    <pic:cNvPicPr>
                      <a:picLocks noChangeAspect="1"/>
                    </pic:cNvPicPr>
                  </pic:nvPicPr>
                  <pic:blipFill>
                    <a:blip r:embed="rId34"/>
                    <a:srcRect b="3878"/>
                    <a:stretch>
                      <a:fillRect/>
                    </a:stretch>
                  </pic:blipFill>
                  <pic:spPr>
                    <a:xfrm>
                      <a:off x="0" y="0"/>
                      <a:ext cx="4558030" cy="4286885"/>
                    </a:xfrm>
                    <a:prstGeom prst="rect">
                      <a:avLst/>
                    </a:prstGeom>
                  </pic:spPr>
                </pic:pic>
              </a:graphicData>
            </a:graphic>
          </wp:inline>
        </w:drawing>
      </w:r>
    </w:p>
    <w:p>
      <w:pPr>
        <w:pStyle w:val="18"/>
        <w:jc w:val="center"/>
        <w:rPr>
          <w:rFonts w:hint="eastAsia"/>
          <w:b/>
          <w:bCs/>
          <w:color w:val="auto"/>
          <w:sz w:val="21"/>
          <w:szCs w:val="21"/>
          <w:lang w:val="en-US" w:eastAsia="zh-CN"/>
        </w:rPr>
      </w:pPr>
      <w:r>
        <w:rPr>
          <w:rFonts w:hint="default" w:ascii="Times New Roman" w:hAnsi="Times New Roman" w:cs="Times New Roman"/>
          <w:b/>
          <w:bCs/>
          <w:color w:val="auto"/>
          <w:sz w:val="21"/>
          <w:szCs w:val="21"/>
          <w:lang w:eastAsia="zh-CN"/>
        </w:rPr>
        <w:t>图</w:t>
      </w:r>
      <w:r>
        <w:rPr>
          <w:rFonts w:hint="eastAsia" w:ascii="Times New Roman" w:hAnsi="Times New Roman" w:cs="Times New Roman"/>
          <w:b/>
          <w:bCs/>
          <w:color w:val="auto"/>
          <w:sz w:val="21"/>
          <w:szCs w:val="21"/>
          <w:lang w:val="en-US" w:eastAsia="zh-CN"/>
        </w:rPr>
        <w:t>7.3-1</w:t>
      </w:r>
      <w:r>
        <w:rPr>
          <w:rFonts w:hint="default" w:ascii="Times New Roman" w:hAnsi="Times New Roman" w:cs="Times New Roman"/>
          <w:b/>
          <w:bCs/>
          <w:color w:val="auto"/>
          <w:sz w:val="21"/>
          <w:szCs w:val="21"/>
          <w:lang w:val="en-US" w:eastAsia="zh-CN"/>
        </w:rPr>
        <w:t xml:space="preserve"> 地下水</w:t>
      </w:r>
      <w:r>
        <w:rPr>
          <w:rFonts w:hint="eastAsia"/>
          <w:b/>
          <w:bCs/>
          <w:color w:val="auto"/>
          <w:sz w:val="21"/>
          <w:szCs w:val="21"/>
          <w:lang w:val="en-US" w:eastAsia="zh-CN"/>
        </w:rPr>
        <w:t>监测点位置及距离</w:t>
      </w:r>
    </w:p>
    <w:p>
      <w:pPr>
        <w:pStyle w:val="5"/>
        <w:rPr>
          <w:rFonts w:hint="eastAsia"/>
          <w:lang w:eastAsia="zh-CN"/>
        </w:rPr>
      </w:pPr>
      <w:r>
        <w:rPr>
          <w:rFonts w:hint="eastAsia"/>
          <w:lang w:val="en-US" w:eastAsia="zh-CN"/>
        </w:rPr>
        <w:t>7.3.6地下水监测结果</w:t>
      </w:r>
    </w:p>
    <w:p>
      <w:pPr>
        <w:ind w:firstLine="480" w:firstLineChars="200"/>
        <w:rPr>
          <w:rFonts w:hint="eastAsia"/>
          <w:lang w:val="en-US" w:eastAsia="zh-CN"/>
        </w:rPr>
      </w:pPr>
      <w:r>
        <w:rPr>
          <w:rFonts w:hint="eastAsia"/>
          <w:lang w:eastAsia="zh-CN"/>
        </w:rPr>
        <w:t>项目附近地下水监测结果详见表</w:t>
      </w:r>
      <w:r>
        <w:rPr>
          <w:rFonts w:hint="eastAsia"/>
          <w:lang w:val="en-US" w:eastAsia="zh-CN"/>
        </w:rPr>
        <w:t>7.3-4。</w:t>
      </w:r>
    </w:p>
    <w:p>
      <w:pPr>
        <w:pStyle w:val="18"/>
        <w:spacing w:line="360" w:lineRule="auto"/>
        <w:jc w:val="center"/>
        <w:rPr>
          <w:rFonts w:hint="eastAsia"/>
          <w:lang w:val="en-US" w:eastAsia="zh-CN"/>
        </w:rPr>
      </w:pPr>
      <w:r>
        <w:rPr>
          <w:rFonts w:hint="default" w:ascii="Times New Roman" w:hAnsi="Times New Roman" w:cs="Times New Roman"/>
          <w:b/>
          <w:bCs/>
          <w:sz w:val="21"/>
          <w:szCs w:val="21"/>
          <w:lang w:val="en-US" w:eastAsia="zh-CN"/>
        </w:rPr>
        <w:t>表</w:t>
      </w:r>
      <w:r>
        <w:rPr>
          <w:rFonts w:hint="eastAsia" w:ascii="Times New Roman" w:hAnsi="Times New Roman" w:cs="Times New Roman"/>
          <w:b/>
          <w:bCs/>
          <w:sz w:val="21"/>
          <w:szCs w:val="21"/>
          <w:lang w:val="en-US" w:eastAsia="zh-CN"/>
        </w:rPr>
        <w:t>7.3-4</w:t>
      </w:r>
      <w:r>
        <w:rPr>
          <w:rFonts w:hint="default" w:ascii="Times New Roman" w:hAnsi="Times New Roman" w:cs="Times New Roman"/>
          <w:b/>
          <w:bCs/>
          <w:sz w:val="21"/>
          <w:szCs w:val="21"/>
          <w:lang w:val="en-US" w:eastAsia="zh-CN"/>
        </w:rPr>
        <w:t xml:space="preserve"> 项目附近地下水</w:t>
      </w:r>
      <w:r>
        <w:rPr>
          <w:rFonts w:hint="eastAsia" w:ascii="Times New Roman" w:hAnsi="Times New Roman" w:cs="Times New Roman"/>
          <w:b/>
          <w:bCs/>
          <w:sz w:val="21"/>
          <w:szCs w:val="21"/>
          <w:lang w:val="en-US" w:eastAsia="zh-CN"/>
        </w:rPr>
        <w:t>监</w:t>
      </w:r>
      <w:r>
        <w:rPr>
          <w:rFonts w:hint="default" w:ascii="Times New Roman" w:hAnsi="Times New Roman" w:cs="Times New Roman"/>
          <w:b/>
          <w:bCs/>
          <w:sz w:val="21"/>
          <w:szCs w:val="21"/>
          <w:lang w:val="en-US" w:eastAsia="zh-CN"/>
        </w:rPr>
        <w:t>测结果统计表</w:t>
      </w:r>
    </w:p>
    <w:tbl>
      <w:tblPr>
        <w:tblStyle w:val="17"/>
        <w:tblW w:w="9195" w:type="dxa"/>
        <w:tblInd w:w="-374"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9"/>
        <w:gridCol w:w="1095"/>
        <w:gridCol w:w="855"/>
        <w:gridCol w:w="720"/>
        <w:gridCol w:w="915"/>
        <w:gridCol w:w="855"/>
        <w:gridCol w:w="855"/>
        <w:gridCol w:w="870"/>
        <w:gridCol w:w="855"/>
        <w:gridCol w:w="80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9195" w:type="dxa"/>
            <w:gridSpan w:val="10"/>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lang w:val="en-US" w:eastAsia="zh-CN"/>
              </w:rPr>
              <w:t>监测类别：地下水（单位：mg/L，pH无量纲）</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69"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vertAlign w:val="baseline"/>
                <w:lang w:eastAsia="zh-CN"/>
              </w:rPr>
            </w:pPr>
            <w:r>
              <w:rPr>
                <w:rFonts w:hint="default" w:ascii="Times New Roman" w:hAnsi="Times New Roman" w:cs="Times New Roman"/>
                <w:b/>
                <w:bCs/>
                <w:sz w:val="21"/>
                <w:szCs w:val="21"/>
                <w:vertAlign w:val="baseline"/>
                <w:lang w:eastAsia="zh-CN"/>
              </w:rPr>
              <w:t>监测点位</w:t>
            </w:r>
          </w:p>
        </w:tc>
        <w:tc>
          <w:tcPr>
            <w:tcW w:w="109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vertAlign w:val="baseline"/>
                <w:lang w:eastAsia="zh-CN"/>
              </w:rPr>
            </w:pPr>
            <w:r>
              <w:rPr>
                <w:rFonts w:hint="default" w:ascii="Times New Roman" w:hAnsi="Times New Roman" w:cs="Times New Roman"/>
                <w:b/>
                <w:bCs/>
                <w:sz w:val="21"/>
                <w:szCs w:val="21"/>
                <w:vertAlign w:val="baseline"/>
                <w:lang w:eastAsia="zh-CN"/>
              </w:rPr>
              <w:t>采样时间</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pH</w:t>
            </w:r>
          </w:p>
        </w:tc>
        <w:tc>
          <w:tcPr>
            <w:tcW w:w="72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vertAlign w:val="baseline"/>
                <w:lang w:eastAsia="zh-CN"/>
              </w:rPr>
            </w:pPr>
            <w:r>
              <w:rPr>
                <w:rFonts w:hint="default" w:ascii="Times New Roman" w:hAnsi="Times New Roman" w:cs="Times New Roman"/>
                <w:b/>
                <w:bCs/>
                <w:sz w:val="21"/>
                <w:szCs w:val="21"/>
                <w:vertAlign w:val="baseline"/>
                <w:lang w:eastAsia="zh-CN"/>
              </w:rPr>
              <w:t>氨氮</w:t>
            </w:r>
          </w:p>
        </w:tc>
        <w:tc>
          <w:tcPr>
            <w:tcW w:w="91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vertAlign w:val="baseline"/>
                <w:lang w:eastAsia="zh-CN"/>
              </w:rPr>
            </w:pPr>
            <w:r>
              <w:rPr>
                <w:rFonts w:hint="default" w:ascii="Times New Roman" w:hAnsi="Times New Roman" w:cs="Times New Roman"/>
                <w:b/>
                <w:bCs/>
                <w:sz w:val="21"/>
                <w:szCs w:val="21"/>
                <w:vertAlign w:val="baseline"/>
                <w:lang w:eastAsia="zh-CN"/>
              </w:rPr>
              <w:t>总硬度</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vertAlign w:val="baseline"/>
                <w:lang w:eastAsia="zh-CN"/>
              </w:rPr>
            </w:pPr>
            <w:r>
              <w:rPr>
                <w:rFonts w:hint="default" w:ascii="Times New Roman" w:hAnsi="Times New Roman" w:cs="Times New Roman"/>
                <w:b/>
                <w:bCs/>
                <w:sz w:val="21"/>
                <w:szCs w:val="21"/>
                <w:vertAlign w:val="baseline"/>
                <w:lang w:eastAsia="zh-CN"/>
              </w:rPr>
              <w:t>硫酸盐</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vertAlign w:val="baseline"/>
                <w:lang w:eastAsia="zh-CN"/>
              </w:rPr>
            </w:pPr>
            <w:r>
              <w:rPr>
                <w:rFonts w:hint="default" w:ascii="Times New Roman" w:hAnsi="Times New Roman" w:cs="Times New Roman"/>
                <w:b/>
                <w:bCs/>
                <w:sz w:val="21"/>
                <w:szCs w:val="21"/>
                <w:vertAlign w:val="baseline"/>
                <w:lang w:eastAsia="zh-CN"/>
              </w:rPr>
              <w:t>氯化物</w:t>
            </w:r>
          </w:p>
        </w:tc>
        <w:tc>
          <w:tcPr>
            <w:tcW w:w="87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vertAlign w:val="baseline"/>
                <w:lang w:eastAsia="zh-CN"/>
              </w:rPr>
            </w:pPr>
            <w:r>
              <w:rPr>
                <w:rFonts w:hint="default" w:ascii="Times New Roman" w:hAnsi="Times New Roman" w:cs="Times New Roman"/>
                <w:b/>
                <w:bCs/>
                <w:sz w:val="21"/>
                <w:szCs w:val="21"/>
                <w:vertAlign w:val="baseline"/>
                <w:lang w:eastAsia="zh-CN"/>
              </w:rPr>
              <w:t>高锰酸盐指数</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vertAlign w:val="baseline"/>
                <w:lang w:eastAsia="zh-CN"/>
              </w:rPr>
            </w:pPr>
            <w:r>
              <w:rPr>
                <w:rFonts w:hint="default" w:ascii="Times New Roman" w:hAnsi="Times New Roman" w:cs="Times New Roman"/>
                <w:b/>
                <w:bCs/>
                <w:sz w:val="21"/>
                <w:szCs w:val="21"/>
                <w:vertAlign w:val="baseline"/>
                <w:lang w:eastAsia="zh-CN"/>
              </w:rPr>
              <w:t>铅</w:t>
            </w:r>
          </w:p>
        </w:tc>
        <w:tc>
          <w:tcPr>
            <w:tcW w:w="806"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vertAlign w:val="baseline"/>
                <w:lang w:eastAsia="zh-CN"/>
              </w:rPr>
            </w:pPr>
            <w:r>
              <w:rPr>
                <w:rFonts w:hint="default" w:ascii="Times New Roman" w:hAnsi="Times New Roman" w:cs="Times New Roman"/>
                <w:b/>
                <w:bCs/>
                <w:sz w:val="21"/>
                <w:szCs w:val="21"/>
                <w:vertAlign w:val="baseline"/>
                <w:lang w:eastAsia="zh-CN"/>
              </w:rPr>
              <w:t>锌</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2" w:hRule="atLeast"/>
        </w:trPr>
        <w:tc>
          <w:tcPr>
            <w:tcW w:w="1369" w:type="dxa"/>
            <w:vMerge w:val="restart"/>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D1项目西北425米地下水井</w:t>
            </w:r>
          </w:p>
        </w:tc>
        <w:tc>
          <w:tcPr>
            <w:tcW w:w="109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2017.10.8</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7.5</w:t>
            </w:r>
          </w:p>
        </w:tc>
        <w:tc>
          <w:tcPr>
            <w:tcW w:w="72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0.168</w:t>
            </w:r>
          </w:p>
        </w:tc>
        <w:tc>
          <w:tcPr>
            <w:tcW w:w="91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112</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9.11</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2.56</w:t>
            </w:r>
          </w:p>
        </w:tc>
        <w:tc>
          <w:tcPr>
            <w:tcW w:w="87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0.9</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sz w:val="21"/>
                <w:szCs w:val="21"/>
                <w:vertAlign w:val="baseline"/>
                <w:lang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69" w:type="dxa"/>
            <w:vMerge w:val="continue"/>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rPr>
            </w:pPr>
          </w:p>
        </w:tc>
        <w:tc>
          <w:tcPr>
            <w:tcW w:w="109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2017.10.9</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7.4</w:t>
            </w:r>
          </w:p>
        </w:tc>
        <w:tc>
          <w:tcPr>
            <w:tcW w:w="72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0.161</w:t>
            </w:r>
          </w:p>
        </w:tc>
        <w:tc>
          <w:tcPr>
            <w:tcW w:w="91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113</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11.1</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1.08</w:t>
            </w:r>
          </w:p>
        </w:tc>
        <w:tc>
          <w:tcPr>
            <w:tcW w:w="87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1.0</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sz w:val="21"/>
                <w:szCs w:val="21"/>
                <w:vertAlign w:val="baseline"/>
                <w:lang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sz w:val="21"/>
                <w:szCs w:val="21"/>
                <w:vertAlign w:val="baseline"/>
                <w:lang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trPr>
        <w:tc>
          <w:tcPr>
            <w:tcW w:w="1369" w:type="dxa"/>
            <w:vMerge w:val="restart"/>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vertAlign w:val="baseline"/>
                <w:lang w:val="en-US" w:eastAsia="zh-CN"/>
              </w:rPr>
              <w:t>D</w:t>
            </w:r>
            <w:r>
              <w:rPr>
                <w:rFonts w:hint="eastAsia" w:ascii="Times New Roman" w:hAnsi="Times New Roman" w:cs="Times New Roman"/>
                <w:sz w:val="21"/>
                <w:szCs w:val="21"/>
                <w:vertAlign w:val="baseline"/>
                <w:lang w:val="en-US" w:eastAsia="zh-CN"/>
              </w:rPr>
              <w:t>2</w:t>
            </w:r>
            <w:r>
              <w:rPr>
                <w:rFonts w:hint="default" w:ascii="Times New Roman" w:hAnsi="Times New Roman" w:cs="Times New Roman"/>
                <w:sz w:val="21"/>
                <w:szCs w:val="21"/>
                <w:vertAlign w:val="baseline"/>
                <w:lang w:val="en-US" w:eastAsia="zh-CN"/>
              </w:rPr>
              <w:t>项目西北1090米地下水井</w:t>
            </w:r>
          </w:p>
        </w:tc>
        <w:tc>
          <w:tcPr>
            <w:tcW w:w="109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eastAsia="zh-CN"/>
              </w:rPr>
            </w:pPr>
            <w:r>
              <w:rPr>
                <w:rFonts w:hint="eastAsia" w:ascii="Times New Roman" w:hAnsi="Times New Roman" w:cs="Times New Roman"/>
                <w:sz w:val="21"/>
                <w:szCs w:val="21"/>
                <w:vertAlign w:val="baseline"/>
                <w:lang w:val="en-US" w:eastAsia="zh-CN"/>
              </w:rPr>
              <w:t>2017.10.8</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7.3</w:t>
            </w:r>
          </w:p>
        </w:tc>
        <w:tc>
          <w:tcPr>
            <w:tcW w:w="72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0.157</w:t>
            </w:r>
          </w:p>
        </w:tc>
        <w:tc>
          <w:tcPr>
            <w:tcW w:w="91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131</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6.09</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0.721</w:t>
            </w:r>
          </w:p>
        </w:tc>
        <w:tc>
          <w:tcPr>
            <w:tcW w:w="87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1.2</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sz w:val="21"/>
                <w:szCs w:val="21"/>
                <w:vertAlign w:val="baseline"/>
                <w:lang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sz w:val="21"/>
                <w:szCs w:val="21"/>
                <w:vertAlign w:val="baseline"/>
                <w:lang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69" w:type="dxa"/>
            <w:vMerge w:val="continue"/>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rPr>
            </w:pPr>
          </w:p>
        </w:tc>
        <w:tc>
          <w:tcPr>
            <w:tcW w:w="109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eastAsia="zh-CN"/>
              </w:rPr>
            </w:pPr>
            <w:r>
              <w:rPr>
                <w:rFonts w:hint="eastAsia" w:ascii="Times New Roman" w:hAnsi="Times New Roman" w:cs="Times New Roman"/>
                <w:sz w:val="21"/>
                <w:szCs w:val="21"/>
                <w:vertAlign w:val="baseline"/>
                <w:lang w:val="en-US" w:eastAsia="zh-CN"/>
              </w:rPr>
              <w:t>2017.10.9</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7.2</w:t>
            </w:r>
          </w:p>
        </w:tc>
        <w:tc>
          <w:tcPr>
            <w:tcW w:w="72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0.153</w:t>
            </w:r>
          </w:p>
        </w:tc>
        <w:tc>
          <w:tcPr>
            <w:tcW w:w="91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137</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6.12</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0.728</w:t>
            </w:r>
          </w:p>
        </w:tc>
        <w:tc>
          <w:tcPr>
            <w:tcW w:w="87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1.1</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sz w:val="21"/>
                <w:szCs w:val="21"/>
                <w:vertAlign w:val="baseline"/>
                <w:lang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sz w:val="21"/>
                <w:szCs w:val="21"/>
                <w:vertAlign w:val="baseline"/>
                <w:lang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7" w:hRule="atLeast"/>
        </w:trPr>
        <w:tc>
          <w:tcPr>
            <w:tcW w:w="1369" w:type="dxa"/>
            <w:vMerge w:val="restart"/>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eastAsia="zh-CN"/>
              </w:rPr>
            </w:pPr>
            <w:r>
              <w:rPr>
                <w:rFonts w:hint="default" w:ascii="Times New Roman" w:hAnsi="Times New Roman" w:cs="Times New Roman"/>
                <w:sz w:val="21"/>
                <w:szCs w:val="21"/>
                <w:vertAlign w:val="baseline"/>
                <w:lang w:val="en-US" w:eastAsia="zh-CN"/>
              </w:rPr>
              <w:t>D</w:t>
            </w:r>
            <w:r>
              <w:rPr>
                <w:rFonts w:hint="eastAsia" w:ascii="Times New Roman" w:hAnsi="Times New Roman" w:cs="Times New Roman"/>
                <w:sz w:val="21"/>
                <w:szCs w:val="21"/>
                <w:vertAlign w:val="baseline"/>
                <w:lang w:val="en-US" w:eastAsia="zh-CN"/>
              </w:rPr>
              <w:t>3</w:t>
            </w:r>
            <w:r>
              <w:rPr>
                <w:rFonts w:hint="default" w:ascii="Times New Roman" w:hAnsi="Times New Roman" w:cs="Times New Roman"/>
                <w:sz w:val="21"/>
                <w:szCs w:val="21"/>
                <w:vertAlign w:val="baseline"/>
                <w:lang w:val="en-US" w:eastAsia="zh-CN"/>
              </w:rPr>
              <w:t>项目西北2150米地下水井</w:t>
            </w:r>
          </w:p>
        </w:tc>
        <w:tc>
          <w:tcPr>
            <w:tcW w:w="109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eastAsia="zh-CN"/>
              </w:rPr>
            </w:pPr>
            <w:r>
              <w:rPr>
                <w:rFonts w:hint="eastAsia" w:ascii="Times New Roman" w:hAnsi="Times New Roman" w:cs="Times New Roman"/>
                <w:sz w:val="21"/>
                <w:szCs w:val="21"/>
                <w:vertAlign w:val="baseline"/>
                <w:lang w:val="en-US" w:eastAsia="zh-CN"/>
              </w:rPr>
              <w:t>2017.10.8</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7.2</w:t>
            </w:r>
          </w:p>
        </w:tc>
        <w:tc>
          <w:tcPr>
            <w:tcW w:w="72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0.185</w:t>
            </w:r>
          </w:p>
        </w:tc>
        <w:tc>
          <w:tcPr>
            <w:tcW w:w="91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22</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4.40</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0.749</w:t>
            </w:r>
          </w:p>
        </w:tc>
        <w:tc>
          <w:tcPr>
            <w:tcW w:w="87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1.0</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sz w:val="21"/>
                <w:szCs w:val="21"/>
                <w:vertAlign w:val="baseline"/>
                <w:lang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sz w:val="21"/>
                <w:szCs w:val="21"/>
                <w:vertAlign w:val="baseline"/>
                <w:lang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69" w:type="dxa"/>
            <w:vMerge w:val="continue"/>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rPr>
            </w:pPr>
          </w:p>
        </w:tc>
        <w:tc>
          <w:tcPr>
            <w:tcW w:w="109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eastAsia="zh-CN"/>
              </w:rPr>
            </w:pPr>
            <w:r>
              <w:rPr>
                <w:rFonts w:hint="eastAsia" w:ascii="Times New Roman" w:hAnsi="Times New Roman" w:cs="Times New Roman"/>
                <w:sz w:val="21"/>
                <w:szCs w:val="21"/>
                <w:vertAlign w:val="baseline"/>
                <w:lang w:val="en-US" w:eastAsia="zh-CN"/>
              </w:rPr>
              <w:t>2017.10.9</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7.2</w:t>
            </w:r>
          </w:p>
        </w:tc>
        <w:tc>
          <w:tcPr>
            <w:tcW w:w="72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0.196</w:t>
            </w:r>
          </w:p>
        </w:tc>
        <w:tc>
          <w:tcPr>
            <w:tcW w:w="91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24</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4.47</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0.750</w:t>
            </w:r>
          </w:p>
        </w:tc>
        <w:tc>
          <w:tcPr>
            <w:tcW w:w="87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1.0</w:t>
            </w:r>
          </w:p>
        </w:tc>
        <w:tc>
          <w:tcPr>
            <w:tcW w:w="855"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sz w:val="21"/>
                <w:szCs w:val="21"/>
                <w:vertAlign w:val="baseline"/>
                <w:lang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1</w:t>
            </w:r>
          </w:p>
        </w:tc>
        <w:tc>
          <w:tcPr>
            <w:tcW w:w="806" w:type="dxa"/>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sz w:val="21"/>
                <w:szCs w:val="21"/>
                <w:vertAlign w:val="baseline"/>
                <w:lang w:eastAsia="zh-CN"/>
              </w:rPr>
            </w:pPr>
            <w:r>
              <w:rPr>
                <w:rFonts w:hint="default" w:ascii="Times New Roman" w:hAnsi="Times New Roman" w:cs="Times New Roman"/>
                <w:i w:val="0"/>
                <w:color w:val="auto"/>
                <w:kern w:val="0"/>
                <w:sz w:val="20"/>
                <w:szCs w:val="20"/>
                <w:u w:val="none"/>
                <w:lang w:val="en-US" w:eastAsia="zh-CN" w:bidi="ar"/>
              </w:rPr>
              <w:t>＜</w:t>
            </w:r>
            <w:r>
              <w:rPr>
                <w:rFonts w:hint="eastAsia" w:ascii="Times New Roman" w:hAnsi="Times New Roman" w:cs="Times New Roman"/>
                <w:i w:val="0"/>
                <w:color w:val="auto"/>
                <w:kern w:val="0"/>
                <w:sz w:val="21"/>
                <w:szCs w:val="21"/>
                <w:u w:val="none"/>
                <w:lang w:val="en-US" w:eastAsia="zh-CN" w:bidi="ar"/>
              </w:rPr>
              <w:t>0.0</w:t>
            </w:r>
            <w:r>
              <w:rPr>
                <w:rFonts w:hint="eastAsia" w:cs="Times New Roman"/>
                <w:i w:val="0"/>
                <w:color w:val="auto"/>
                <w:kern w:val="0"/>
                <w:sz w:val="21"/>
                <w:szCs w:val="21"/>
                <w:u w:val="none"/>
                <w:lang w:val="en-US" w:eastAsia="zh-CN" w:bidi="ar"/>
              </w:rPr>
              <w:t>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464" w:type="dxa"/>
            <w:gridSpan w:val="2"/>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标准值</w:t>
            </w:r>
          </w:p>
        </w:tc>
        <w:tc>
          <w:tcPr>
            <w:tcW w:w="855"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6.5-8.5</w:t>
            </w:r>
          </w:p>
        </w:tc>
        <w:tc>
          <w:tcPr>
            <w:tcW w:w="72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0.2</w:t>
            </w:r>
          </w:p>
        </w:tc>
        <w:tc>
          <w:tcPr>
            <w:tcW w:w="915"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b/>
                <w:bCs/>
                <w:sz w:val="21"/>
                <w:szCs w:val="21"/>
                <w:vertAlign w:val="baseline"/>
                <w:lang w:val="en-US" w:eastAsia="zh-CN"/>
              </w:rPr>
            </w:pPr>
            <w:r>
              <w:rPr>
                <w:rFonts w:hint="eastAsia" w:cs="Times New Roman"/>
                <w:b/>
                <w:bCs/>
                <w:color w:val="auto"/>
                <w:sz w:val="21"/>
                <w:szCs w:val="21"/>
                <w:vertAlign w:val="baseline"/>
                <w:lang w:val="en-US" w:eastAsia="zh-CN"/>
              </w:rPr>
              <w:t>450</w:t>
            </w:r>
          </w:p>
        </w:tc>
        <w:tc>
          <w:tcPr>
            <w:tcW w:w="855"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250</w:t>
            </w:r>
          </w:p>
        </w:tc>
        <w:tc>
          <w:tcPr>
            <w:tcW w:w="855"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b/>
                <w:bCs/>
                <w:sz w:val="21"/>
                <w:szCs w:val="21"/>
                <w:vertAlign w:val="baseline"/>
                <w:lang w:val="en-US" w:eastAsia="zh-CN"/>
              </w:rPr>
            </w:pPr>
            <w:r>
              <w:rPr>
                <w:rFonts w:hint="eastAsia" w:cs="Times New Roman"/>
                <w:b/>
                <w:bCs/>
                <w:color w:val="auto"/>
                <w:sz w:val="21"/>
                <w:szCs w:val="21"/>
                <w:vertAlign w:val="baseline"/>
                <w:lang w:val="en-US" w:eastAsia="zh-CN"/>
              </w:rPr>
              <w:t>250</w:t>
            </w:r>
          </w:p>
        </w:tc>
        <w:tc>
          <w:tcPr>
            <w:tcW w:w="870"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b/>
                <w:bCs/>
                <w:sz w:val="21"/>
                <w:szCs w:val="21"/>
                <w:vertAlign w:val="baseline"/>
                <w:lang w:val="en-US" w:eastAsia="zh-CN"/>
              </w:rPr>
            </w:pPr>
            <w:r>
              <w:rPr>
                <w:rFonts w:hint="eastAsia" w:cs="Times New Roman"/>
                <w:b/>
                <w:bCs/>
                <w:color w:val="auto"/>
                <w:sz w:val="21"/>
                <w:szCs w:val="21"/>
                <w:vertAlign w:val="baseline"/>
                <w:lang w:val="en-US" w:eastAsia="zh-CN"/>
              </w:rPr>
              <w:t>3.0</w:t>
            </w:r>
          </w:p>
        </w:tc>
        <w:tc>
          <w:tcPr>
            <w:tcW w:w="855"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0.05</w:t>
            </w:r>
          </w:p>
        </w:tc>
        <w:tc>
          <w:tcPr>
            <w:tcW w:w="806" w:type="dxa"/>
            <w:tcBorders>
              <w:tl2br w:val="nil"/>
              <w:tr2bl w:val="nil"/>
            </w:tcBorders>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464" w:type="dxa"/>
            <w:gridSpan w:val="2"/>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达标情况</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达标</w:t>
            </w:r>
          </w:p>
        </w:tc>
        <w:tc>
          <w:tcPr>
            <w:tcW w:w="72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达标</w:t>
            </w:r>
          </w:p>
        </w:tc>
        <w:tc>
          <w:tcPr>
            <w:tcW w:w="91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达标</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达标</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达标</w:t>
            </w:r>
          </w:p>
        </w:tc>
        <w:tc>
          <w:tcPr>
            <w:tcW w:w="870"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达标</w:t>
            </w:r>
          </w:p>
        </w:tc>
        <w:tc>
          <w:tcPr>
            <w:tcW w:w="855"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达标</w:t>
            </w:r>
          </w:p>
        </w:tc>
        <w:tc>
          <w:tcPr>
            <w:tcW w:w="806" w:type="dxa"/>
            <w:tcBorders>
              <w:tl2br w:val="nil"/>
              <w:tr2bl w:val="nil"/>
            </w:tcBorders>
            <w:vAlign w:val="center"/>
          </w:tcPr>
          <w:p>
            <w:pPr>
              <w:pStyle w:val="18"/>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达标</w:t>
            </w:r>
          </w:p>
        </w:tc>
      </w:tr>
    </w:tbl>
    <w:p>
      <w:pPr>
        <w:pStyle w:val="5"/>
        <w:rPr>
          <w:rFonts w:hint="eastAsia"/>
          <w:color w:val="auto"/>
          <w:lang w:val="en-US" w:eastAsia="zh-CN"/>
        </w:rPr>
      </w:pPr>
      <w:r>
        <w:rPr>
          <w:rFonts w:hint="eastAsia"/>
          <w:color w:val="auto"/>
          <w:lang w:val="en-US" w:eastAsia="zh-CN"/>
        </w:rPr>
        <w:t>7.3.7有效性分析与结论</w:t>
      </w:r>
    </w:p>
    <w:p>
      <w:pPr>
        <w:ind w:firstLine="480" w:firstLineChars="200"/>
        <w:rPr>
          <w:rFonts w:hint="eastAsia"/>
          <w:color w:val="auto"/>
          <w:lang w:val="en-US" w:eastAsia="zh-CN"/>
        </w:rPr>
      </w:pPr>
      <w:r>
        <w:rPr>
          <w:rFonts w:hint="eastAsia"/>
          <w:color w:val="auto"/>
          <w:lang w:eastAsia="zh-CN"/>
        </w:rPr>
        <w:t>由表中数据可知，</w:t>
      </w:r>
      <w:r>
        <w:rPr>
          <w:rFonts w:hint="eastAsia"/>
          <w:color w:val="auto"/>
          <w:lang w:val="en-US" w:eastAsia="zh-CN"/>
        </w:rPr>
        <w:t>姚街铅锌矿</w:t>
      </w:r>
      <w:r>
        <w:rPr>
          <w:rFonts w:hint="eastAsia" w:ascii="Times New Roman" w:hAnsi="Times New Roman" w:cs="Times New Roman"/>
          <w:color w:val="auto"/>
          <w:shd w:val="clear" w:color="auto" w:fill="auto"/>
          <w:lang w:eastAsia="zh-CN"/>
        </w:rPr>
        <w:t>附近</w:t>
      </w:r>
      <w:r>
        <w:rPr>
          <w:rFonts w:hint="eastAsia" w:ascii="Times New Roman" w:hAnsi="Times New Roman" w:cs="Times New Roman"/>
          <w:color w:val="auto"/>
          <w:shd w:val="clear" w:color="auto" w:fill="auto"/>
          <w:lang w:val="en-US" w:eastAsia="zh-CN"/>
        </w:rPr>
        <w:t>3口地下水井水质</w:t>
      </w:r>
      <w:r>
        <w:rPr>
          <w:rFonts w:hint="default" w:ascii="Times New Roman" w:hAnsi="Times New Roman" w:cs="Times New Roman"/>
          <w:color w:val="auto"/>
          <w:shd w:val="clear" w:color="auto" w:fill="auto"/>
        </w:rPr>
        <w:t>均能达到</w:t>
      </w:r>
      <w:r>
        <w:rPr>
          <w:rFonts w:hint="eastAsia"/>
          <w:color w:val="auto"/>
          <w:lang w:val="en-US" w:eastAsia="zh-CN"/>
        </w:rPr>
        <w:t>《地下水质量标准》</w:t>
      </w:r>
      <w:r>
        <w:rPr>
          <w:rFonts w:hint="default" w:ascii="Times New Roman" w:hAnsi="Times New Roman" w:cs="Times New Roman"/>
          <w:color w:val="auto"/>
          <w:lang w:val="en-US" w:eastAsia="zh-CN"/>
        </w:rPr>
        <w:t>（GB/T 14848-93）</w:t>
      </w:r>
      <w:r>
        <w:rPr>
          <w:rFonts w:hint="eastAsia"/>
          <w:color w:val="auto"/>
          <w:lang w:val="en-US" w:eastAsia="zh-CN"/>
        </w:rPr>
        <w:t>Ⅲ类标准要求，证明至现阶段为止，姚街铅锌矿采矿工作并未对附近的地下水质造成明显影响，</w:t>
      </w:r>
      <w:r>
        <w:rPr>
          <w:rFonts w:hint="default" w:ascii="Times New Roman" w:hAnsi="Times New Roman" w:cs="Times New Roman"/>
          <w:color w:val="000000"/>
          <w:sz w:val="24"/>
          <w:lang w:eastAsia="zh-CN"/>
        </w:rPr>
        <w:t>项目铅锌矿正下方为黄山岭铅锌矿，本项目</w:t>
      </w:r>
      <w:r>
        <w:rPr>
          <w:rFonts w:hint="eastAsia"/>
          <w:color w:val="000000"/>
          <w:sz w:val="24"/>
          <w:lang w:eastAsia="zh-CN"/>
        </w:rPr>
        <w:t>的废水不会直接下渗继而影响地下水水质，且黄山岭铅锌矿已通过竣工验收，</w:t>
      </w:r>
      <w:r>
        <w:rPr>
          <w:rFonts w:hint="eastAsia"/>
          <w:color w:val="auto"/>
          <w:lang w:val="en-US" w:eastAsia="zh-CN"/>
        </w:rPr>
        <w:t>在对周边自然环境质量无其他方面影响的情况下，可认为本项目的建设与运行对周边环境质量无明显影响，项目废水处理设施是有效可行的。</w:t>
      </w:r>
    </w:p>
    <w:p>
      <w:pPr>
        <w:pStyle w:val="5"/>
        <w:rPr>
          <w:rFonts w:hint="eastAsia"/>
          <w:color w:val="auto"/>
          <w:lang w:val="en-US" w:eastAsia="zh-CN"/>
        </w:rPr>
      </w:pPr>
      <w:r>
        <w:rPr>
          <w:rFonts w:hint="eastAsia"/>
          <w:color w:val="auto"/>
          <w:lang w:val="en-US" w:eastAsia="zh-CN"/>
        </w:rPr>
        <w:t>7.3.8建议</w:t>
      </w:r>
    </w:p>
    <w:p>
      <w:pPr>
        <w:ind w:firstLine="480" w:firstLineChars="200"/>
        <w:rPr>
          <w:rFonts w:hint="eastAsia"/>
          <w:color w:val="auto"/>
          <w:lang w:val="en-US" w:eastAsia="zh-CN"/>
        </w:rPr>
      </w:pPr>
      <w:r>
        <w:rPr>
          <w:rFonts w:hint="eastAsia"/>
          <w:color w:val="auto"/>
          <w:lang w:val="en-US" w:eastAsia="zh-CN"/>
        </w:rPr>
        <w:t>加强废水处理、回用设施运行管理，确保实现生产废水循环使用，保证不外排；对项目的周边地下水的水质应定期进行监测。</w:t>
      </w:r>
    </w:p>
    <w:p>
      <w:pPr>
        <w:pStyle w:val="4"/>
        <w:rPr>
          <w:rFonts w:hint="eastAsia"/>
          <w:lang w:val="en-US" w:eastAsia="zh-CN"/>
        </w:rPr>
      </w:pPr>
      <w:bookmarkStart w:id="282" w:name="_Toc30455"/>
      <w:r>
        <w:rPr>
          <w:rFonts w:hint="eastAsia"/>
          <w:lang w:val="en-US" w:eastAsia="zh-CN"/>
        </w:rPr>
        <w:t>7.4大气环境影响调查</w:t>
      </w:r>
      <w:bookmarkEnd w:id="282"/>
    </w:p>
    <w:p>
      <w:pPr>
        <w:pStyle w:val="5"/>
        <w:rPr>
          <w:rFonts w:hint="eastAsia"/>
          <w:lang w:val="en-US" w:eastAsia="zh-CN"/>
        </w:rPr>
      </w:pPr>
      <w:r>
        <w:rPr>
          <w:rFonts w:hint="eastAsia"/>
          <w:lang w:val="en-US" w:eastAsia="zh-CN"/>
        </w:rPr>
        <w:t>7.4.1大气污染源及治理</w:t>
      </w:r>
    </w:p>
    <w:p>
      <w:pPr>
        <w:spacing w:line="360" w:lineRule="auto"/>
        <w:ind w:firstLine="480" w:firstLineChars="200"/>
        <w:rPr>
          <w:rFonts w:hAnsi="宋体"/>
          <w:color w:val="000000"/>
          <w:sz w:val="24"/>
        </w:rPr>
      </w:pPr>
      <w:r>
        <w:rPr>
          <w:rFonts w:hint="eastAsia" w:hAnsi="宋体"/>
          <w:color w:val="000000"/>
          <w:sz w:val="24"/>
        </w:rPr>
        <w:t>项目</w:t>
      </w:r>
      <w:r>
        <w:rPr>
          <w:rFonts w:hAnsi="宋体"/>
          <w:color w:val="000000"/>
          <w:sz w:val="24"/>
        </w:rPr>
        <w:t>大气污染</w:t>
      </w:r>
      <w:r>
        <w:rPr>
          <w:rFonts w:hint="eastAsia" w:hAnsi="宋体"/>
          <w:color w:val="000000"/>
          <w:sz w:val="24"/>
        </w:rPr>
        <w:t>物</w:t>
      </w:r>
      <w:r>
        <w:rPr>
          <w:rFonts w:hAnsi="宋体"/>
          <w:color w:val="000000"/>
          <w:sz w:val="24"/>
        </w:rPr>
        <w:t>主要有</w:t>
      </w:r>
      <w:r>
        <w:rPr>
          <w:rFonts w:hint="eastAsia" w:hAnsi="宋体"/>
          <w:color w:val="000000"/>
          <w:sz w:val="24"/>
        </w:rPr>
        <w:t>井下采掘粉尘及运输扬尘</w:t>
      </w:r>
      <w:r>
        <w:rPr>
          <w:rFonts w:hAnsi="宋体"/>
          <w:color w:val="000000"/>
          <w:sz w:val="24"/>
        </w:rPr>
        <w:t>等。</w:t>
      </w:r>
    </w:p>
    <w:p>
      <w:pPr>
        <w:spacing w:line="360" w:lineRule="auto"/>
        <w:ind w:firstLine="480" w:firstLineChars="200"/>
        <w:rPr>
          <w:rFonts w:hint="eastAsia" w:hAnsi="宋体"/>
          <w:color w:val="000000"/>
          <w:sz w:val="24"/>
          <w:lang w:eastAsia="zh-CN"/>
        </w:rPr>
      </w:pPr>
      <w:r>
        <w:rPr>
          <w:rFonts w:hAnsi="宋体"/>
          <w:color w:val="000000"/>
          <w:sz w:val="24"/>
        </w:rPr>
        <w:t>坑内掘进与回采作业均采取湿式凿岩、爆堆喷雾洒水、产生粉尘的各作业点安装喷雾洒水装置抑尘。矿井主要入风井巷定期清洗岩壁，防止二次扬尘污染。</w:t>
      </w:r>
      <w:r>
        <w:rPr>
          <w:rFonts w:hint="default" w:ascii="Times New Roman" w:hAnsi="Times New Roman" w:cs="Times New Roman"/>
          <w:color w:val="auto"/>
          <w:sz w:val="24"/>
        </w:rPr>
        <w:t>矿</w:t>
      </w:r>
      <w:r>
        <w:rPr>
          <w:rFonts w:hint="eastAsia" w:cs="Times New Roman"/>
          <w:color w:val="auto"/>
          <w:sz w:val="24"/>
          <w:lang w:eastAsia="zh-CN"/>
        </w:rPr>
        <w:t>井</w:t>
      </w:r>
      <w:r>
        <w:rPr>
          <w:rFonts w:hint="default" w:ascii="Times New Roman" w:hAnsi="Times New Roman" w:cs="Times New Roman"/>
          <w:color w:val="auto"/>
          <w:sz w:val="24"/>
        </w:rPr>
        <w:t>采用对角抽出式通风方式。</w:t>
      </w:r>
      <w:r>
        <w:rPr>
          <w:rFonts w:hint="eastAsia" w:cs="Times New Roman"/>
          <w:color w:val="auto"/>
          <w:sz w:val="24"/>
          <w:lang w:eastAsia="zh-CN"/>
        </w:rPr>
        <w:t>排出的污风属于无组织排放，由植被阻挡吸附</w:t>
      </w:r>
      <w:r>
        <w:rPr>
          <w:rFonts w:hint="eastAsia" w:hAnsi="宋体"/>
          <w:color w:val="000000"/>
          <w:sz w:val="24"/>
          <w:lang w:eastAsia="zh-CN"/>
        </w:rPr>
        <w:t>。</w:t>
      </w:r>
    </w:p>
    <w:p>
      <w:pPr>
        <w:spacing w:line="360" w:lineRule="auto"/>
        <w:ind w:firstLine="480" w:firstLineChars="200"/>
        <w:rPr>
          <w:rFonts w:hint="eastAsia" w:hAnsi="宋体"/>
          <w:color w:val="000000"/>
          <w:sz w:val="24"/>
          <w:lang w:eastAsia="zh-CN"/>
        </w:rPr>
      </w:pPr>
      <w:r>
        <w:rPr>
          <w:rFonts w:hint="eastAsia" w:hAnsi="宋体"/>
          <w:color w:val="000000"/>
          <w:sz w:val="24"/>
          <w:lang w:eastAsia="zh-CN"/>
        </w:rPr>
        <w:t>对于</w:t>
      </w:r>
      <w:r>
        <w:rPr>
          <w:rFonts w:hAnsi="宋体"/>
          <w:color w:val="000000"/>
          <w:sz w:val="24"/>
        </w:rPr>
        <w:t>道路运输二次扬尘</w:t>
      </w:r>
      <w:r>
        <w:rPr>
          <w:rFonts w:hint="eastAsia" w:hAnsi="宋体"/>
          <w:color w:val="auto"/>
          <w:sz w:val="24"/>
          <w:lang w:eastAsia="zh-CN"/>
        </w:rPr>
        <w:t>，对</w:t>
      </w:r>
      <w:r>
        <w:rPr>
          <w:rFonts w:hAnsi="宋体"/>
          <w:color w:val="auto"/>
          <w:sz w:val="24"/>
        </w:rPr>
        <w:t>道路</w:t>
      </w:r>
      <w:r>
        <w:rPr>
          <w:rFonts w:hint="eastAsia" w:hAnsi="宋体"/>
          <w:color w:val="auto"/>
          <w:sz w:val="24"/>
          <w:lang w:eastAsia="zh-CN"/>
        </w:rPr>
        <w:t>进行了硬化和定期</w:t>
      </w:r>
      <w:r>
        <w:rPr>
          <w:rFonts w:hAnsi="宋体"/>
          <w:color w:val="auto"/>
          <w:sz w:val="24"/>
        </w:rPr>
        <w:t>养护；</w:t>
      </w:r>
      <w:r>
        <w:rPr>
          <w:rFonts w:hint="eastAsia" w:hAnsi="宋体"/>
          <w:color w:val="auto"/>
          <w:sz w:val="24"/>
          <w:lang w:eastAsia="zh-CN"/>
        </w:rPr>
        <w:t>下料口对矿石进行了喷淋处理；自然植被</w:t>
      </w:r>
      <w:r>
        <w:rPr>
          <w:rFonts w:hint="eastAsia" w:hAnsi="宋体"/>
          <w:color w:val="000000"/>
          <w:sz w:val="24"/>
          <w:lang w:eastAsia="zh-CN"/>
        </w:rPr>
        <w:t>形成隔离带，阻留了扬尘降低噪声。</w:t>
      </w:r>
    </w:p>
    <w:p>
      <w:pPr>
        <w:spacing w:line="360" w:lineRule="auto"/>
        <w:ind w:firstLine="480" w:firstLineChars="200"/>
        <w:rPr>
          <w:rFonts w:hint="eastAsia" w:hAnsi="宋体"/>
          <w:color w:val="000000"/>
          <w:sz w:val="24"/>
        </w:rPr>
      </w:pPr>
      <w:r>
        <w:rPr>
          <w:rFonts w:hint="eastAsia" w:hAnsi="宋体"/>
          <w:color w:val="000000"/>
          <w:sz w:val="24"/>
        </w:rPr>
        <w:t>井下爆破产生的烟气，在井下通过洒水和通风稀释。</w:t>
      </w:r>
    </w:p>
    <w:p>
      <w:pPr>
        <w:pStyle w:val="5"/>
        <w:rPr>
          <w:rFonts w:hint="eastAsia"/>
          <w:lang w:val="en-US" w:eastAsia="zh-CN"/>
        </w:rPr>
      </w:pPr>
      <w:r>
        <w:rPr>
          <w:rFonts w:hint="eastAsia"/>
          <w:lang w:val="en-US" w:eastAsia="zh-CN"/>
        </w:rPr>
        <w:t>7.4.2废气监测内容</w:t>
      </w:r>
    </w:p>
    <w:p>
      <w:pPr>
        <w:ind w:firstLine="480" w:firstLineChars="200"/>
        <w:rPr>
          <w:rFonts w:hint="eastAsia"/>
          <w:lang w:val="en-US" w:eastAsia="zh-CN"/>
        </w:rPr>
      </w:pPr>
      <w:r>
        <w:rPr>
          <w:rFonts w:hint="eastAsia"/>
          <w:lang w:val="en-US" w:eastAsia="zh-CN"/>
        </w:rPr>
        <w:t>无组织废气监测具体内容见表7.4-1，</w:t>
      </w:r>
      <w:r>
        <w:rPr>
          <w:rFonts w:hint="eastAsia"/>
          <w:color w:val="auto"/>
          <w:lang w:val="en-US" w:eastAsia="zh-CN"/>
        </w:rPr>
        <w:t>监测点位见图7.1-1</w:t>
      </w:r>
      <w:r>
        <w:rPr>
          <w:rFonts w:hint="eastAsia" w:ascii="宋体" w:hAnsi="宋体" w:eastAsia="宋体" w:cs="宋体"/>
          <w:lang w:val="en-US" w:eastAsia="zh-CN"/>
        </w:rPr>
        <w:t>。</w:t>
      </w:r>
    </w:p>
    <w:p>
      <w:pPr>
        <w:jc w:val="center"/>
        <w:rPr>
          <w:rFonts w:hint="eastAsia"/>
          <w:lang w:val="en-US" w:eastAsia="zh-CN"/>
        </w:rPr>
      </w:pPr>
      <w:r>
        <w:rPr>
          <w:rFonts w:hint="eastAsia"/>
          <w:b/>
          <w:bCs/>
          <w:sz w:val="21"/>
          <w:szCs w:val="21"/>
          <w:lang w:val="en-US" w:eastAsia="zh-CN"/>
        </w:rPr>
        <w:t>表7.4-1 无组织废气监测内容</w:t>
      </w:r>
    </w:p>
    <w:tbl>
      <w:tblPr>
        <w:tblStyle w:val="17"/>
        <w:tblW w:w="8516"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27"/>
        <w:gridCol w:w="648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02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lang w:val="en-US" w:eastAsia="zh-CN"/>
              </w:rPr>
              <w:t>排放源</w:t>
            </w:r>
          </w:p>
        </w:tc>
        <w:tc>
          <w:tcPr>
            <w:tcW w:w="648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02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监测点位</w:t>
            </w:r>
          </w:p>
        </w:tc>
        <w:tc>
          <w:tcPr>
            <w:tcW w:w="648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厂界上风向一个参照点WQ1、下风向三个监测点WQ2、WQ、/WQ4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02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监测因子</w:t>
            </w:r>
          </w:p>
        </w:tc>
        <w:tc>
          <w:tcPr>
            <w:tcW w:w="648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颗粒物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02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监测频次及周期</w:t>
            </w:r>
          </w:p>
        </w:tc>
        <w:tc>
          <w:tcPr>
            <w:tcW w:w="648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一天三次，监测两天</w:t>
            </w:r>
          </w:p>
        </w:tc>
      </w:tr>
    </w:tbl>
    <w:p>
      <w:pPr>
        <w:pStyle w:val="5"/>
        <w:rPr>
          <w:rFonts w:hint="eastAsia"/>
          <w:lang w:val="en-US" w:eastAsia="zh-CN"/>
        </w:rPr>
      </w:pPr>
      <w:r>
        <w:rPr>
          <w:rFonts w:hint="eastAsia"/>
          <w:lang w:val="en-US" w:eastAsia="zh-CN"/>
        </w:rPr>
        <w:t>7.4.3气监测质量控制</w:t>
      </w:r>
    </w:p>
    <w:p>
      <w:pPr>
        <w:ind w:firstLine="480" w:firstLineChars="200"/>
        <w:rPr>
          <w:rFonts w:hint="eastAsia"/>
          <w:lang w:val="en-US" w:eastAsia="zh-CN"/>
        </w:rPr>
      </w:pPr>
      <w:r>
        <w:rPr>
          <w:rFonts w:hint="eastAsia"/>
          <w:lang w:val="en-US" w:eastAsia="zh-CN"/>
        </w:rPr>
        <w:t>废气监测采用国标中规定的方法进行，参加环保设施竣工验收监测采样和测试人员持证上岗，采样仪器在监测前进行有效检定，按规范要求设置断面及点位的个数，一次监测至少三个平行样。尽量避免被测排放物中共存污染物因子对仪器分析的交叉干扰；被测排放物的浓度应在仪器测试量程的有效范围即仪器量程的30%~70%之间。</w:t>
      </w:r>
    </w:p>
    <w:p>
      <w:pPr>
        <w:pStyle w:val="5"/>
        <w:rPr>
          <w:rFonts w:hint="eastAsia"/>
          <w:lang w:val="en-US" w:eastAsia="zh-CN"/>
        </w:rPr>
      </w:pPr>
      <w:r>
        <w:rPr>
          <w:rFonts w:hint="eastAsia"/>
          <w:lang w:val="en-US" w:eastAsia="zh-CN"/>
        </w:rPr>
        <w:t>7.4.4无组织废气监测结果</w:t>
      </w:r>
    </w:p>
    <w:p>
      <w:pPr>
        <w:pStyle w:val="2"/>
        <w:rPr>
          <w:rFonts w:hint="eastAsia"/>
          <w:lang w:val="en-US" w:eastAsia="zh-CN"/>
        </w:rPr>
      </w:pPr>
      <w:r>
        <w:rPr>
          <w:rFonts w:hint="eastAsia"/>
          <w:lang w:val="en-US" w:eastAsia="zh-CN"/>
        </w:rPr>
        <w:t>监测期间各监测点的风力参数见表7.4-2。</w:t>
      </w:r>
    </w:p>
    <w:p>
      <w:pPr>
        <w:pStyle w:val="2"/>
        <w:ind w:firstLine="422" w:firstLineChars="200"/>
        <w:jc w:val="center"/>
        <w:rPr>
          <w:rFonts w:hint="eastAsia"/>
          <w:b/>
          <w:bCs/>
          <w:sz w:val="21"/>
          <w:szCs w:val="21"/>
          <w:lang w:val="en-US" w:eastAsia="zh-CN"/>
        </w:rPr>
      </w:pPr>
      <w:r>
        <w:rPr>
          <w:rFonts w:hint="eastAsia"/>
          <w:b/>
          <w:bCs/>
          <w:sz w:val="21"/>
          <w:szCs w:val="21"/>
          <w:lang w:val="en-US" w:eastAsia="zh-CN"/>
        </w:rPr>
        <w:t>表7.4-2 监测期间各监测点位风力参数表</w:t>
      </w:r>
    </w:p>
    <w:tbl>
      <w:tblPr>
        <w:tblStyle w:val="17"/>
        <w:tblW w:w="8549" w:type="dxa"/>
        <w:jc w:val="center"/>
        <w:tblInd w:w="6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01"/>
        <w:gridCol w:w="917"/>
        <w:gridCol w:w="2257"/>
        <w:gridCol w:w="908"/>
        <w:gridCol w:w="226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01" w:type="dxa"/>
            <w:vMerge w:val="restart"/>
            <w:tcBorders>
              <w:tl2br w:val="nil"/>
              <w:tr2bl w:val="nil"/>
            </w:tcBorders>
            <w:vAlign w:val="center"/>
          </w:tcPr>
          <w:p>
            <w:pPr>
              <w:pStyle w:val="2"/>
              <w:keepNext w:val="0"/>
              <w:keepLines w:val="0"/>
              <w:suppressLineNumbers w:val="0"/>
              <w:spacing w:before="0" w:beforeAutospacing="0" w:after="0" w:afterAutospacing="0" w:line="240" w:lineRule="auto"/>
              <w:ind w:left="0" w:right="0"/>
              <w:jc w:val="right"/>
              <w:rPr>
                <w:rFonts w:hint="eastAsia" w:eastAsia="宋体"/>
                <w:b/>
                <w:bCs/>
                <w:color w:val="auto"/>
                <w:sz w:val="21"/>
                <w:szCs w:val="21"/>
                <w:vertAlign w:val="baseline"/>
                <w:lang w:val="en-US" w:eastAsia="zh-CN"/>
              </w:rPr>
            </w:pPr>
            <w:r>
              <w:rPr>
                <w:rFonts w:hint="default"/>
                <w:b/>
                <w:bCs/>
                <w:color w:val="auto"/>
                <w:sz w:val="21"/>
              </w:rPr>
              <mc:AlternateContent>
                <mc:Choice Requires="wps">
                  <w:drawing>
                    <wp:anchor distT="0" distB="0" distL="114300" distR="114300" simplePos="0" relativeHeight="1197175808" behindDoc="0" locked="0" layoutInCell="1" allowOverlap="1">
                      <wp:simplePos x="0" y="0"/>
                      <wp:positionH relativeFrom="column">
                        <wp:posOffset>-76200</wp:posOffset>
                      </wp:positionH>
                      <wp:positionV relativeFrom="paragraph">
                        <wp:posOffset>15240</wp:posOffset>
                      </wp:positionV>
                      <wp:extent cx="1409700" cy="495300"/>
                      <wp:effectExtent l="1270" t="4445" r="17780" b="14605"/>
                      <wp:wrapNone/>
                      <wp:docPr id="75" name="直接连接符 75"/>
                      <wp:cNvGraphicFramePr/>
                      <a:graphic xmlns:a="http://schemas.openxmlformats.org/drawingml/2006/main">
                        <a:graphicData uri="http://schemas.microsoft.com/office/word/2010/wordprocessingShape">
                          <wps:wsp>
                            <wps:cNvCnPr/>
                            <wps:spPr>
                              <a:xfrm flipH="1" flipV="1">
                                <a:off x="1057910" y="1264920"/>
                                <a:ext cx="1409700" cy="4953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6pt;margin-top:1.2pt;height:39pt;width:111pt;z-index:1197175808;mso-width-relative:page;mso-height-relative:page;" filled="f" stroked="t" coordsize="21600,21600" o:gfxdata="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qAAI0dcAAAAI&#10;AQAADwAAAAAAAAABACAAAAAiAAAAZHJzL2Rvd25yZXYueG1sUEsBAhQAFAAAAAgAh07iQLJyFTnk&#10;AQAAigMAAA4AAAAAAAAAAQAgAAAAJgEAAGRycy9lMm9Eb2MueG1sUEsFBgAAAAAGAAYAWQEAAHwF&#10;AAAAAA==&#10;">
                      <v:fill on="f" focussize="0,0"/>
                      <v:stroke weight="0.5pt" color="#000000 [3213]" miterlimit="8" joinstyle="miter"/>
                      <v:imagedata o:title=""/>
                      <o:lock v:ext="edit" aspectratio="f"/>
                    </v:line>
                  </w:pict>
                </mc:Fallback>
              </mc:AlternateContent>
            </w:r>
            <w:r>
              <w:rPr>
                <w:rFonts w:hint="eastAsia"/>
                <w:b/>
                <w:bCs/>
                <w:color w:val="auto"/>
                <w:sz w:val="21"/>
                <w:szCs w:val="21"/>
                <w:vertAlign w:val="baseline"/>
                <w:lang w:val="en-US" w:eastAsia="zh-CN"/>
              </w:rPr>
              <w:t>风力参数</w:t>
            </w:r>
          </w:p>
          <w:p>
            <w:pPr>
              <w:pStyle w:val="2"/>
              <w:keepNext w:val="0"/>
              <w:keepLines w:val="0"/>
              <w:suppressLineNumbers w:val="0"/>
              <w:spacing w:before="0" w:beforeAutospacing="0" w:after="0" w:afterAutospacing="0" w:line="240" w:lineRule="auto"/>
              <w:ind w:left="0" w:right="0"/>
              <w:jc w:val="both"/>
              <w:rPr>
                <w:rFonts w:hint="eastAsia"/>
                <w:b w:val="0"/>
                <w:bCs w:val="0"/>
                <w:color w:val="auto"/>
                <w:sz w:val="21"/>
                <w:szCs w:val="21"/>
                <w:vertAlign w:val="baseline"/>
                <w:lang w:val="en-US" w:eastAsia="zh-CN"/>
              </w:rPr>
            </w:pPr>
            <w:r>
              <w:rPr>
                <w:rFonts w:hint="eastAsia"/>
                <w:b/>
                <w:bCs/>
                <w:color w:val="auto"/>
                <w:sz w:val="21"/>
                <w:szCs w:val="21"/>
                <w:vertAlign w:val="baseline"/>
                <w:lang w:val="en-US" w:eastAsia="zh-CN"/>
              </w:rPr>
              <w:t>点位/次数</w:t>
            </w:r>
          </w:p>
        </w:tc>
        <w:tc>
          <w:tcPr>
            <w:tcW w:w="3174" w:type="dxa"/>
            <w:gridSpan w:val="2"/>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2017.10.8</w:t>
            </w:r>
          </w:p>
        </w:tc>
        <w:tc>
          <w:tcPr>
            <w:tcW w:w="3174" w:type="dxa"/>
            <w:gridSpan w:val="2"/>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2017.10.9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01" w:type="dxa"/>
            <w:vMerge w:val="continue"/>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default"/>
                <w:color w:val="auto"/>
              </w:rPr>
            </w:pPr>
          </w:p>
        </w:tc>
        <w:tc>
          <w:tcPr>
            <w:tcW w:w="917"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风向</w:t>
            </w:r>
          </w:p>
        </w:tc>
        <w:tc>
          <w:tcPr>
            <w:tcW w:w="2257"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风速（一次/二次/三次）</w:t>
            </w:r>
          </w:p>
        </w:tc>
        <w:tc>
          <w:tcPr>
            <w:tcW w:w="908"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风向</w:t>
            </w:r>
          </w:p>
        </w:tc>
        <w:tc>
          <w:tcPr>
            <w:tcW w:w="2266"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风速（一次/二次/三次）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01"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WQ1</w:t>
            </w:r>
          </w:p>
        </w:tc>
        <w:tc>
          <w:tcPr>
            <w:tcW w:w="917"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西北</w:t>
            </w:r>
          </w:p>
        </w:tc>
        <w:tc>
          <w:tcPr>
            <w:tcW w:w="2257"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2.4/1.4/1.8</w:t>
            </w:r>
          </w:p>
        </w:tc>
        <w:tc>
          <w:tcPr>
            <w:tcW w:w="908"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西北</w:t>
            </w:r>
          </w:p>
        </w:tc>
        <w:tc>
          <w:tcPr>
            <w:tcW w:w="2266"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0.6/1.7/1.0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01"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WQ2</w:t>
            </w:r>
          </w:p>
        </w:tc>
        <w:tc>
          <w:tcPr>
            <w:tcW w:w="917"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西北</w:t>
            </w:r>
          </w:p>
        </w:tc>
        <w:tc>
          <w:tcPr>
            <w:tcW w:w="2257"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2.2/1.3/1.6</w:t>
            </w:r>
          </w:p>
        </w:tc>
        <w:tc>
          <w:tcPr>
            <w:tcW w:w="908"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西北</w:t>
            </w:r>
          </w:p>
        </w:tc>
        <w:tc>
          <w:tcPr>
            <w:tcW w:w="2266"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0.5/1.7/1.1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7" w:hRule="atLeast"/>
          <w:jc w:val="center"/>
        </w:trPr>
        <w:tc>
          <w:tcPr>
            <w:tcW w:w="2201"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WQ3</w:t>
            </w:r>
          </w:p>
        </w:tc>
        <w:tc>
          <w:tcPr>
            <w:tcW w:w="917"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西北</w:t>
            </w:r>
          </w:p>
        </w:tc>
        <w:tc>
          <w:tcPr>
            <w:tcW w:w="2257"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2.2/1.2/1.6</w:t>
            </w:r>
          </w:p>
        </w:tc>
        <w:tc>
          <w:tcPr>
            <w:tcW w:w="908"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西北</w:t>
            </w:r>
          </w:p>
        </w:tc>
        <w:tc>
          <w:tcPr>
            <w:tcW w:w="2266"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0.5/1.6/1.1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01"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WQ4</w:t>
            </w:r>
          </w:p>
        </w:tc>
        <w:tc>
          <w:tcPr>
            <w:tcW w:w="917"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西北</w:t>
            </w:r>
          </w:p>
        </w:tc>
        <w:tc>
          <w:tcPr>
            <w:tcW w:w="2257"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2.5/1.6/1.9</w:t>
            </w:r>
          </w:p>
        </w:tc>
        <w:tc>
          <w:tcPr>
            <w:tcW w:w="908"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西北</w:t>
            </w:r>
          </w:p>
        </w:tc>
        <w:tc>
          <w:tcPr>
            <w:tcW w:w="2266" w:type="dxa"/>
            <w:tcBorders>
              <w:tl2br w:val="nil"/>
              <w:tr2bl w:val="nil"/>
            </w:tcBorders>
            <w:vAlign w:val="center"/>
          </w:tcPr>
          <w:p>
            <w:pPr>
              <w:pStyle w:val="2"/>
              <w:keepNext w:val="0"/>
              <w:keepLines w:val="0"/>
              <w:suppressLineNumbers w:val="0"/>
              <w:spacing w:before="0" w:beforeAutospacing="0" w:after="0" w:afterAutospacing="0" w:line="240" w:lineRule="auto"/>
              <w:ind w:left="0" w:right="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0.8/1.9/1.5</w:t>
            </w:r>
          </w:p>
        </w:tc>
      </w:tr>
    </w:tbl>
    <w:p>
      <w:pPr>
        <w:adjustRightInd w:val="0"/>
        <w:snapToGrid w:val="0"/>
        <w:spacing w:line="360" w:lineRule="auto"/>
        <w:jc w:val="left"/>
        <w:rPr>
          <w:rFonts w:hint="eastAsia" w:ascii="Times New Roman" w:hAnsi="Times New Roman" w:eastAsia="宋体" w:cs="Times New Roman"/>
          <w:b w:val="0"/>
          <w:bCs/>
          <w:sz w:val="24"/>
          <w:szCs w:val="24"/>
          <w:lang w:eastAsia="zh-CN"/>
        </w:rPr>
      </w:pPr>
      <w:r>
        <w:rPr>
          <w:rFonts w:hint="eastAsia" w:ascii="Times New Roman" w:hAnsi="Times New Roman" w:cs="Times New Roman"/>
          <w:b w:val="0"/>
          <w:bCs/>
          <w:sz w:val="24"/>
          <w:szCs w:val="24"/>
          <w:lang w:eastAsia="zh-CN"/>
        </w:rPr>
        <w:t>无组织废气监测结果详见表</w:t>
      </w:r>
      <w:r>
        <w:rPr>
          <w:rFonts w:hint="eastAsia" w:cs="Times New Roman"/>
          <w:b w:val="0"/>
          <w:bCs/>
          <w:sz w:val="24"/>
          <w:szCs w:val="24"/>
          <w:lang w:val="en-US" w:eastAsia="zh-CN"/>
        </w:rPr>
        <w:t>7.4-3</w:t>
      </w:r>
      <w:r>
        <w:rPr>
          <w:rFonts w:hint="eastAsia" w:ascii="Times New Roman" w:hAnsi="Times New Roman" w:cs="Times New Roman"/>
          <w:b w:val="0"/>
          <w:bCs/>
          <w:sz w:val="24"/>
          <w:szCs w:val="24"/>
          <w:lang w:val="en-US" w:eastAsia="zh-CN"/>
        </w:rPr>
        <w:t>。</w:t>
      </w:r>
    </w:p>
    <w:p>
      <w:pPr>
        <w:adjustRightInd w:val="0"/>
        <w:snapToGrid w:val="0"/>
        <w:spacing w:line="360" w:lineRule="auto"/>
        <w:jc w:val="center"/>
        <w:rPr>
          <w:rFonts w:hint="default" w:ascii="Times New Roman" w:hAnsi="Times New Roman" w:cs="Times New Roman"/>
          <w:b/>
          <w:sz w:val="21"/>
          <w:szCs w:val="21"/>
        </w:rPr>
      </w:pPr>
    </w:p>
    <w:p>
      <w:pPr>
        <w:adjustRightInd w:val="0"/>
        <w:snapToGrid w:val="0"/>
        <w:spacing w:line="360" w:lineRule="auto"/>
        <w:jc w:val="center"/>
        <w:rPr>
          <w:rFonts w:hint="default" w:ascii="Times New Roman" w:hAnsi="Times New Roman" w:cs="Times New Roman"/>
          <w:b/>
          <w:sz w:val="21"/>
          <w:szCs w:val="21"/>
        </w:rPr>
      </w:pPr>
    </w:p>
    <w:p>
      <w:pPr>
        <w:adjustRightInd w:val="0"/>
        <w:snapToGrid w:val="0"/>
        <w:spacing w:line="360" w:lineRule="auto"/>
        <w:jc w:val="center"/>
        <w:rPr>
          <w:rFonts w:hint="default" w:ascii="Times New Roman" w:hAnsi="Times New Roman" w:cs="Times New Roman"/>
          <w:b/>
          <w:sz w:val="21"/>
          <w:szCs w:val="21"/>
        </w:rPr>
      </w:pPr>
    </w:p>
    <w:p>
      <w:pPr>
        <w:adjustRightInd w:val="0"/>
        <w:snapToGrid w:val="0"/>
        <w:spacing w:line="360" w:lineRule="auto"/>
        <w:jc w:val="center"/>
        <w:rPr>
          <w:rFonts w:hint="default" w:ascii="Times New Roman" w:hAnsi="Times New Roman" w:cs="Times New Roman"/>
          <w:b/>
          <w:sz w:val="21"/>
          <w:szCs w:val="21"/>
        </w:rPr>
      </w:pPr>
      <w:r>
        <w:rPr>
          <w:rFonts w:hint="default" w:ascii="Times New Roman" w:hAnsi="Times New Roman" w:cs="Times New Roman"/>
          <w:b/>
          <w:sz w:val="21"/>
          <w:szCs w:val="21"/>
        </w:rPr>
        <w:t>表</w:t>
      </w:r>
      <w:r>
        <w:rPr>
          <w:rFonts w:hint="eastAsia" w:cs="Times New Roman"/>
          <w:b/>
          <w:sz w:val="21"/>
          <w:szCs w:val="21"/>
          <w:lang w:val="en-US" w:eastAsia="zh-CN"/>
        </w:rPr>
        <w:t>7.4-3</w:t>
      </w:r>
      <w:r>
        <w:rPr>
          <w:rFonts w:hint="default" w:ascii="Times New Roman" w:hAnsi="Times New Roman" w:cs="Times New Roman"/>
          <w:b/>
          <w:sz w:val="21"/>
          <w:szCs w:val="21"/>
        </w:rPr>
        <w:t xml:space="preserve"> 无组织废气</w:t>
      </w:r>
      <w:r>
        <w:rPr>
          <w:rFonts w:hint="default" w:ascii="Times New Roman" w:hAnsi="Times New Roman" w:cs="Times New Roman"/>
          <w:b/>
          <w:sz w:val="21"/>
          <w:szCs w:val="21"/>
          <w:lang w:val="en-US" w:eastAsia="zh-CN"/>
        </w:rPr>
        <w:t>总悬浮颗粒物</w:t>
      </w:r>
      <w:r>
        <w:rPr>
          <w:rFonts w:hint="default" w:ascii="Times New Roman" w:hAnsi="Times New Roman" w:cs="Times New Roman"/>
          <w:b/>
          <w:sz w:val="21"/>
          <w:szCs w:val="21"/>
        </w:rPr>
        <w:t>监测结果统计表</w:t>
      </w:r>
    </w:p>
    <w:tbl>
      <w:tblPr>
        <w:tblStyle w:val="16"/>
        <w:tblW w:w="8549" w:type="dxa"/>
        <w:jc w:val="center"/>
        <w:tblInd w:w="-293"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04"/>
        <w:gridCol w:w="1470"/>
        <w:gridCol w:w="862"/>
        <w:gridCol w:w="862"/>
        <w:gridCol w:w="862"/>
        <w:gridCol w:w="862"/>
        <w:gridCol w:w="862"/>
        <w:gridCol w:w="8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49" w:type="dxa"/>
            <w:gridSpan w:val="8"/>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监测结果（单位：</w:t>
            </w:r>
            <w:r>
              <w:rPr>
                <w:rFonts w:hint="default" w:ascii="Times New Roman" w:hAnsi="Times New Roman" w:cs="Times New Roman"/>
                <w:sz w:val="21"/>
                <w:szCs w:val="21"/>
                <w:lang w:val="en-US" w:eastAsia="zh-CN"/>
              </w:rPr>
              <w:t>μ</w:t>
            </w:r>
            <w:r>
              <w:rPr>
                <w:rFonts w:hint="default" w:ascii="Times New Roman" w:hAnsi="Times New Roman" w:cs="Times New Roman"/>
                <w:sz w:val="21"/>
                <w:szCs w:val="21"/>
              </w:rPr>
              <w:t>g/m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04"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监测点位</w:t>
            </w:r>
          </w:p>
        </w:tc>
        <w:tc>
          <w:tcPr>
            <w:tcW w:w="1470"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rPr>
              <w:t>检测因子</w:t>
            </w:r>
          </w:p>
        </w:tc>
        <w:tc>
          <w:tcPr>
            <w:tcW w:w="2586" w:type="dxa"/>
            <w:gridSpan w:val="3"/>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2017.10.8</w:t>
            </w:r>
          </w:p>
        </w:tc>
        <w:tc>
          <w:tcPr>
            <w:tcW w:w="2589" w:type="dxa"/>
            <w:gridSpan w:val="3"/>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2017.10.9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04"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bookmarkStart w:id="283" w:name="OLE_LINK5" w:colFirst="2" w:colLast="7"/>
          </w:p>
        </w:tc>
        <w:tc>
          <w:tcPr>
            <w:tcW w:w="1470"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第一次</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第二次</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第三次</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第一次</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第二次</w:t>
            </w:r>
          </w:p>
        </w:tc>
        <w:tc>
          <w:tcPr>
            <w:tcW w:w="86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第三次</w:t>
            </w:r>
          </w:p>
        </w:tc>
      </w:tr>
      <w:bookmarkEnd w:id="283"/>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bookmarkStart w:id="284" w:name="OLE_LINK1" w:colFirst="0" w:colLast="9"/>
            <w:r>
              <w:rPr>
                <w:rFonts w:hint="default" w:ascii="Times New Roman" w:hAnsi="Times New Roman" w:cs="Times New Roman"/>
                <w:sz w:val="21"/>
                <w:szCs w:val="21"/>
                <w:lang w:val="en-US" w:eastAsia="zh-CN"/>
              </w:rPr>
              <w:t>WQ</w:t>
            </w:r>
            <w:r>
              <w:rPr>
                <w:rFonts w:hint="default" w:ascii="Times New Roman" w:hAnsi="Times New Roman" w:cs="Times New Roman"/>
                <w:sz w:val="21"/>
                <w:szCs w:val="21"/>
              </w:rPr>
              <w:t>1</w:t>
            </w:r>
            <w:r>
              <w:rPr>
                <w:rFonts w:hint="default" w:ascii="Times New Roman" w:hAnsi="Times New Roman" w:cs="Times New Roman"/>
                <w:sz w:val="21"/>
                <w:szCs w:val="21"/>
                <w:lang w:val="en-US" w:eastAsia="zh-CN"/>
              </w:rPr>
              <w:t>上</w:t>
            </w:r>
            <w:r>
              <w:rPr>
                <w:rFonts w:hint="default" w:ascii="Times New Roman" w:hAnsi="Times New Roman" w:cs="Times New Roman"/>
                <w:sz w:val="21"/>
                <w:szCs w:val="21"/>
              </w:rPr>
              <w:t>风向</w:t>
            </w:r>
          </w:p>
        </w:tc>
        <w:tc>
          <w:tcPr>
            <w:tcW w:w="1470"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总悬浮颗粒物</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92</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112</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110</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129</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93</w:t>
            </w:r>
          </w:p>
        </w:tc>
        <w:tc>
          <w:tcPr>
            <w:tcW w:w="86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111</w:t>
            </w:r>
          </w:p>
        </w:tc>
      </w:tr>
      <w:bookmarkEnd w:id="284"/>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WQ</w:t>
            </w:r>
            <w:r>
              <w:rPr>
                <w:rFonts w:hint="default" w:ascii="Times New Roman" w:hAnsi="Times New Roman" w:cs="Times New Roman"/>
                <w:sz w:val="21"/>
                <w:szCs w:val="21"/>
              </w:rPr>
              <w:t>2下风向</w:t>
            </w:r>
          </w:p>
        </w:tc>
        <w:tc>
          <w:tcPr>
            <w:tcW w:w="1470"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183</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168</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221</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224</w:t>
            </w:r>
          </w:p>
        </w:tc>
        <w:tc>
          <w:tcPr>
            <w:tcW w:w="86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240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WQ</w:t>
            </w:r>
            <w:r>
              <w:rPr>
                <w:rFonts w:hint="default" w:ascii="Times New Roman" w:hAnsi="Times New Roman" w:cs="Times New Roman"/>
                <w:sz w:val="21"/>
                <w:szCs w:val="21"/>
              </w:rPr>
              <w:t>3下风向</w:t>
            </w:r>
          </w:p>
        </w:tc>
        <w:tc>
          <w:tcPr>
            <w:tcW w:w="1470"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238</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186</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220</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183</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206</w:t>
            </w:r>
          </w:p>
        </w:tc>
        <w:tc>
          <w:tcPr>
            <w:tcW w:w="86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WQ4</w:t>
            </w:r>
            <w:r>
              <w:rPr>
                <w:rFonts w:hint="default" w:ascii="Times New Roman" w:hAnsi="Times New Roman" w:cs="Times New Roman"/>
                <w:sz w:val="21"/>
                <w:szCs w:val="21"/>
              </w:rPr>
              <w:t>下风向</w:t>
            </w:r>
          </w:p>
        </w:tc>
        <w:tc>
          <w:tcPr>
            <w:tcW w:w="1470"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165</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168</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184</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184</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150</w:t>
            </w:r>
          </w:p>
        </w:tc>
        <w:tc>
          <w:tcPr>
            <w:tcW w:w="86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lang w:val="en-US" w:eastAsia="zh-CN"/>
              </w:rPr>
            </w:pPr>
            <w:r>
              <w:rPr>
                <w:rFonts w:hint="eastAsia" w:ascii="Times New Roman" w:hAnsi="Times New Roman" w:cs="Times New Roman"/>
                <w:b/>
                <w:bCs/>
                <w:sz w:val="21"/>
                <w:szCs w:val="21"/>
                <w:lang w:val="en-US" w:eastAsia="zh-CN"/>
              </w:rPr>
              <w:t>标准值</w:t>
            </w:r>
          </w:p>
        </w:tc>
        <w:tc>
          <w:tcPr>
            <w:tcW w:w="1470"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1000</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1000</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1000</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1000</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1000</w:t>
            </w:r>
          </w:p>
        </w:tc>
        <w:tc>
          <w:tcPr>
            <w:tcW w:w="86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1000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04"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sz w:val="21"/>
                <w:szCs w:val="21"/>
                <w:lang w:val="en-US" w:eastAsia="zh-CN"/>
              </w:rPr>
            </w:pPr>
            <w:r>
              <w:rPr>
                <w:rFonts w:hint="eastAsia" w:ascii="Times New Roman" w:hAnsi="Times New Roman" w:cs="Times New Roman"/>
                <w:b/>
                <w:bCs/>
                <w:sz w:val="21"/>
                <w:szCs w:val="21"/>
                <w:lang w:val="en-US" w:eastAsia="zh-CN"/>
              </w:rPr>
              <w:t>达标情况</w:t>
            </w:r>
          </w:p>
        </w:tc>
        <w:tc>
          <w:tcPr>
            <w:tcW w:w="1470"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c>
          <w:tcPr>
            <w:tcW w:w="862"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c>
          <w:tcPr>
            <w:tcW w:w="865"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r>
    </w:tbl>
    <w:p>
      <w:pPr>
        <w:pStyle w:val="5"/>
        <w:rPr>
          <w:rFonts w:hint="eastAsia"/>
          <w:color w:val="auto"/>
          <w:lang w:val="en-US" w:eastAsia="zh-CN"/>
        </w:rPr>
      </w:pPr>
      <w:r>
        <w:rPr>
          <w:rFonts w:hint="eastAsia"/>
          <w:color w:val="auto"/>
          <w:lang w:val="en-US" w:eastAsia="zh-CN"/>
        </w:rPr>
        <w:t>7.4.5敏感点环境空气监测内容</w:t>
      </w:r>
    </w:p>
    <w:p>
      <w:pPr>
        <w:pStyle w:val="18"/>
        <w:spacing w:line="360" w:lineRule="auto"/>
        <w:ind w:firstLine="480" w:firstLineChars="200"/>
        <w:rPr>
          <w:rFonts w:hint="eastAsia" w:ascii="宋体" w:hAnsi="宋体"/>
          <w:sz w:val="24"/>
          <w:szCs w:val="24"/>
          <w:lang w:eastAsia="zh-CN"/>
        </w:rPr>
      </w:pPr>
      <w:r>
        <w:rPr>
          <w:rFonts w:hint="default" w:ascii="Times New Roman" w:hAnsi="Times New Roman" w:cs="Times New Roman"/>
          <w:b w:val="0"/>
          <w:bCs w:val="0"/>
          <w:sz w:val="24"/>
          <w:szCs w:val="24"/>
          <w:lang w:val="en-US" w:eastAsia="zh-CN"/>
        </w:rPr>
        <w:t>距离项目的污染源最近的</w:t>
      </w:r>
      <w:r>
        <w:rPr>
          <w:rFonts w:hint="eastAsia" w:ascii="Times New Roman" w:hAnsi="Times New Roman" w:cs="Times New Roman"/>
          <w:b w:val="0"/>
          <w:bCs w:val="0"/>
          <w:sz w:val="24"/>
          <w:szCs w:val="24"/>
          <w:lang w:val="en-US" w:eastAsia="zh-CN"/>
        </w:rPr>
        <w:t>敏感点</w:t>
      </w:r>
      <w:r>
        <w:rPr>
          <w:rFonts w:hint="default" w:ascii="Times New Roman" w:hAnsi="Times New Roman" w:cs="Times New Roman"/>
          <w:b w:val="0"/>
          <w:bCs w:val="0"/>
          <w:sz w:val="24"/>
          <w:szCs w:val="24"/>
          <w:lang w:val="en-US" w:eastAsia="zh-CN"/>
        </w:rPr>
        <w:t>居民</w:t>
      </w:r>
      <w:r>
        <w:rPr>
          <w:rFonts w:hint="eastAsia" w:ascii="Times New Roman" w:hAnsi="Times New Roman" w:cs="Times New Roman"/>
          <w:b w:val="0"/>
          <w:bCs w:val="0"/>
          <w:sz w:val="24"/>
          <w:szCs w:val="24"/>
          <w:lang w:val="en-US" w:eastAsia="zh-CN"/>
        </w:rPr>
        <w:t>住宅属于张家，</w:t>
      </w:r>
      <w:r>
        <w:rPr>
          <w:rFonts w:hint="default" w:ascii="Times New Roman" w:hAnsi="Times New Roman" w:cs="Times New Roman"/>
          <w:b w:val="0"/>
          <w:bCs w:val="0"/>
          <w:sz w:val="24"/>
          <w:szCs w:val="24"/>
          <w:lang w:val="en-US" w:eastAsia="zh-CN"/>
        </w:rPr>
        <w:t>位于项目区西北方向，距离</w:t>
      </w:r>
      <w:r>
        <w:rPr>
          <w:rFonts w:hint="eastAsia" w:ascii="Times New Roman" w:hAnsi="Times New Roman" w:cs="Times New Roman"/>
          <w:b w:val="0"/>
          <w:bCs w:val="0"/>
          <w:sz w:val="24"/>
          <w:szCs w:val="24"/>
          <w:lang w:val="en-US" w:eastAsia="zh-CN"/>
        </w:rPr>
        <w:t>项目的原有矿石堆场和废石堆场约</w:t>
      </w:r>
      <w:r>
        <w:rPr>
          <w:rFonts w:hint="default" w:ascii="Times New Roman" w:hAnsi="Times New Roman" w:cs="Times New Roman"/>
          <w:b w:val="0"/>
          <w:bCs w:val="0"/>
          <w:sz w:val="24"/>
          <w:szCs w:val="24"/>
          <w:lang w:val="en-US" w:eastAsia="zh-CN"/>
        </w:rPr>
        <w:t>15</w:t>
      </w:r>
      <w:r>
        <w:rPr>
          <w:rFonts w:hint="eastAsia" w:ascii="Times New Roman" w:hAnsi="Times New Roman" w:cs="Times New Roman"/>
          <w:b w:val="0"/>
          <w:bCs w:val="0"/>
          <w:sz w:val="24"/>
          <w:szCs w:val="24"/>
          <w:lang w:val="en-US" w:eastAsia="zh-CN"/>
        </w:rPr>
        <w:t>0</w:t>
      </w:r>
      <w:r>
        <w:rPr>
          <w:rFonts w:hint="default" w:ascii="Times New Roman" w:hAnsi="Times New Roman" w:cs="Times New Roman"/>
          <w:b w:val="0"/>
          <w:bCs w:val="0"/>
          <w:sz w:val="24"/>
          <w:szCs w:val="24"/>
          <w:lang w:val="en-US" w:eastAsia="zh-CN"/>
        </w:rPr>
        <w:t>m，因此对该居民点进行</w:t>
      </w:r>
      <w:r>
        <w:rPr>
          <w:rFonts w:hint="eastAsia" w:ascii="Times New Roman" w:hAnsi="Times New Roman" w:cs="Times New Roman"/>
          <w:b w:val="0"/>
          <w:bCs w:val="0"/>
          <w:sz w:val="24"/>
          <w:szCs w:val="24"/>
          <w:lang w:val="en-US" w:eastAsia="zh-CN"/>
        </w:rPr>
        <w:t>了</w:t>
      </w:r>
      <w:r>
        <w:rPr>
          <w:rFonts w:hint="default" w:ascii="Times New Roman" w:hAnsi="Times New Roman" w:cs="Times New Roman"/>
          <w:b w:val="0"/>
          <w:bCs w:val="0"/>
          <w:sz w:val="24"/>
          <w:szCs w:val="24"/>
          <w:lang w:val="en-US" w:eastAsia="zh-CN"/>
        </w:rPr>
        <w:t>环境空气质量监测。</w:t>
      </w:r>
      <w:r>
        <w:rPr>
          <w:rFonts w:hint="eastAsia" w:ascii="Times New Roman" w:hAnsi="Times New Roman" w:cs="Times New Roman"/>
          <w:b w:val="0"/>
          <w:bCs w:val="0"/>
          <w:sz w:val="24"/>
          <w:szCs w:val="24"/>
          <w:lang w:val="en-US" w:eastAsia="zh-CN"/>
        </w:rPr>
        <w:t>具体监测</w:t>
      </w:r>
      <w:r>
        <w:rPr>
          <w:rFonts w:hint="eastAsia" w:ascii="宋体" w:hAnsi="宋体"/>
          <w:sz w:val="24"/>
          <w:szCs w:val="24"/>
          <w:lang w:eastAsia="zh-CN"/>
        </w:rPr>
        <w:t>内容如下：</w:t>
      </w:r>
    </w:p>
    <w:p>
      <w:pPr>
        <w:jc w:val="center"/>
        <w:rPr>
          <w:rFonts w:hint="eastAsia"/>
          <w:lang w:val="en-US" w:eastAsia="zh-CN"/>
        </w:rPr>
      </w:pPr>
      <w:r>
        <w:rPr>
          <w:rFonts w:hint="eastAsia"/>
          <w:b/>
          <w:bCs/>
          <w:sz w:val="21"/>
          <w:szCs w:val="21"/>
          <w:lang w:val="en-US" w:eastAsia="zh-CN"/>
        </w:rPr>
        <w:t>表7.4-4 敏感点环境空气监测内容</w:t>
      </w:r>
    </w:p>
    <w:tbl>
      <w:tblPr>
        <w:tblStyle w:val="17"/>
        <w:tblW w:w="8516"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27"/>
        <w:gridCol w:w="648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02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lang w:val="en-US" w:eastAsia="zh-CN"/>
              </w:rPr>
              <w:t>排放源</w:t>
            </w:r>
          </w:p>
        </w:tc>
        <w:tc>
          <w:tcPr>
            <w:tcW w:w="648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02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监测点位</w:t>
            </w:r>
          </w:p>
        </w:tc>
        <w:tc>
          <w:tcPr>
            <w:tcW w:w="648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张家G1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02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监测因子</w:t>
            </w:r>
          </w:p>
        </w:tc>
        <w:tc>
          <w:tcPr>
            <w:tcW w:w="648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颗粒物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2027"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监测频次及周期</w:t>
            </w:r>
          </w:p>
        </w:tc>
        <w:tc>
          <w:tcPr>
            <w:tcW w:w="648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监测两天，每天24小时</w:t>
            </w:r>
          </w:p>
        </w:tc>
      </w:tr>
    </w:tbl>
    <w:p>
      <w:pPr>
        <w:ind w:firstLine="480" w:firstLineChars="200"/>
        <w:rPr>
          <w:rFonts w:hint="eastAsia"/>
          <w:lang w:val="en-US" w:eastAsia="zh-CN"/>
        </w:rPr>
      </w:pPr>
      <w:r>
        <w:rPr>
          <w:rFonts w:hint="eastAsia" w:ascii="宋体" w:hAnsi="宋体"/>
          <w:sz w:val="24"/>
          <w:szCs w:val="24"/>
          <w:lang w:val="en-US" w:eastAsia="zh-CN"/>
        </w:rPr>
        <w:t>敏感点环境空气监测点位分布详见图</w:t>
      </w:r>
      <w:r>
        <w:rPr>
          <w:rFonts w:hint="default" w:ascii="Times New Roman" w:hAnsi="Times New Roman" w:cs="Times New Roman"/>
          <w:sz w:val="24"/>
          <w:szCs w:val="24"/>
          <w:lang w:val="en-US" w:eastAsia="zh-CN"/>
        </w:rPr>
        <w:t>7.</w:t>
      </w:r>
      <w:r>
        <w:rPr>
          <w:rFonts w:hint="eastAsia" w:cs="Times New Roman"/>
          <w:sz w:val="24"/>
          <w:szCs w:val="24"/>
          <w:lang w:val="en-US" w:eastAsia="zh-CN"/>
        </w:rPr>
        <w:t>3-2</w:t>
      </w:r>
      <w:r>
        <w:rPr>
          <w:rFonts w:hint="default" w:ascii="Times New Roman" w:hAnsi="Times New Roman" w:cs="Times New Roman"/>
          <w:sz w:val="24"/>
          <w:szCs w:val="24"/>
          <w:lang w:val="en-US" w:eastAsia="zh-CN"/>
        </w:rPr>
        <w:t>。</w:t>
      </w:r>
    </w:p>
    <w:p>
      <w:pPr>
        <w:spacing w:line="360" w:lineRule="auto"/>
        <w:jc w:val="center"/>
        <w:rPr>
          <w:rFonts w:hint="eastAsia"/>
          <w:b/>
          <w:bCs/>
          <w:sz w:val="21"/>
          <w:szCs w:val="21"/>
          <w:lang w:val="en-US" w:eastAsia="zh-CN"/>
        </w:rPr>
      </w:pPr>
      <w:r>
        <w:rPr>
          <w:rFonts w:hint="eastAsia"/>
          <w:b/>
          <w:bCs/>
          <w:sz w:val="21"/>
          <w:szCs w:val="21"/>
          <w:lang w:val="en-US" w:eastAsia="zh-CN"/>
        </w:rPr>
        <w:drawing>
          <wp:inline distT="0" distB="0" distL="114300" distR="114300">
            <wp:extent cx="3726815" cy="2965450"/>
            <wp:effectExtent l="0" t="0" r="6985" b="6350"/>
            <wp:docPr id="90" name="图片 90" descr="I}[T}@5WS9CRQN7Q7YG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I}[T}@5WS9CRQN7Q7YGN{KA"/>
                    <pic:cNvPicPr>
                      <a:picLocks noChangeAspect="1"/>
                    </pic:cNvPicPr>
                  </pic:nvPicPr>
                  <pic:blipFill>
                    <a:blip r:embed="rId35"/>
                    <a:stretch>
                      <a:fillRect/>
                    </a:stretch>
                  </pic:blipFill>
                  <pic:spPr>
                    <a:xfrm>
                      <a:off x="0" y="0"/>
                      <a:ext cx="3726815" cy="2965450"/>
                    </a:xfrm>
                    <a:prstGeom prst="rect">
                      <a:avLst/>
                    </a:prstGeom>
                  </pic:spPr>
                </pic:pic>
              </a:graphicData>
            </a:graphic>
          </wp:inline>
        </w:drawing>
      </w:r>
    </w:p>
    <w:p>
      <w:pPr>
        <w:spacing w:line="360" w:lineRule="auto"/>
        <w:jc w:val="center"/>
        <w:rPr>
          <w:rFonts w:hint="eastAsia"/>
          <w:b/>
          <w:bCs/>
          <w:sz w:val="21"/>
          <w:szCs w:val="21"/>
          <w:lang w:val="en-US" w:eastAsia="zh-CN"/>
        </w:rPr>
      </w:pPr>
      <w:r>
        <w:rPr>
          <w:rFonts w:hint="eastAsia"/>
          <w:b/>
          <w:bCs/>
          <w:sz w:val="21"/>
          <w:szCs w:val="21"/>
          <w:lang w:val="en-US" w:eastAsia="zh-CN"/>
        </w:rPr>
        <w:t>图7.3-2 距离原堆场最近居民点示意图</w:t>
      </w:r>
    </w:p>
    <w:p>
      <w:pPr>
        <w:pStyle w:val="5"/>
        <w:rPr>
          <w:rFonts w:hint="eastAsia"/>
          <w:lang w:val="en-US" w:eastAsia="zh-CN"/>
        </w:rPr>
      </w:pPr>
      <w:r>
        <w:rPr>
          <w:rFonts w:hint="eastAsia"/>
          <w:lang w:val="en-US" w:eastAsia="zh-CN"/>
        </w:rPr>
        <w:t>7.4.6环境空气监测结果</w:t>
      </w:r>
    </w:p>
    <w:p>
      <w:pPr>
        <w:ind w:firstLine="480" w:firstLineChars="200"/>
        <w:rPr>
          <w:rFonts w:hint="eastAsia"/>
          <w:color w:val="auto"/>
          <w:lang w:val="en-US" w:eastAsia="zh-CN"/>
        </w:rPr>
      </w:pPr>
      <w:r>
        <w:rPr>
          <w:rFonts w:hint="eastAsia"/>
          <w:color w:val="auto"/>
          <w:lang w:eastAsia="zh-CN"/>
        </w:rPr>
        <w:t>最近距离张家居民住宅处环境空气监测结果详见表</w:t>
      </w:r>
      <w:r>
        <w:rPr>
          <w:rFonts w:hint="eastAsia"/>
          <w:color w:val="auto"/>
          <w:lang w:val="en-US" w:eastAsia="zh-CN"/>
        </w:rPr>
        <w:t>9.3-2。</w:t>
      </w:r>
    </w:p>
    <w:p>
      <w:pPr>
        <w:pStyle w:val="18"/>
        <w:tabs>
          <w:tab w:val="center" w:pos="4153"/>
        </w:tabs>
        <w:spacing w:line="36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eastAsia="zh-CN"/>
        </w:rPr>
        <w:t>表</w:t>
      </w:r>
      <w:r>
        <w:rPr>
          <w:rFonts w:hint="default" w:ascii="Times New Roman" w:hAnsi="Times New Roman" w:cs="Times New Roman"/>
          <w:b/>
          <w:bCs/>
          <w:color w:val="auto"/>
          <w:sz w:val="21"/>
          <w:szCs w:val="21"/>
          <w:lang w:val="en-US" w:eastAsia="zh-CN"/>
        </w:rPr>
        <w:t>9.3-</w:t>
      </w:r>
      <w:r>
        <w:rPr>
          <w:rFonts w:hint="eastAsia" w:ascii="Times New Roman" w:hAnsi="Times New Roman" w:cs="Times New Roman"/>
          <w:b/>
          <w:bCs/>
          <w:color w:val="auto"/>
          <w:sz w:val="21"/>
          <w:szCs w:val="21"/>
          <w:lang w:val="en-US" w:eastAsia="zh-CN"/>
        </w:rPr>
        <w:t>2</w:t>
      </w:r>
      <w:r>
        <w:rPr>
          <w:rFonts w:hint="default" w:ascii="Times New Roman" w:hAnsi="Times New Roman" w:cs="Times New Roman"/>
          <w:b/>
          <w:bCs/>
          <w:color w:val="auto"/>
          <w:sz w:val="21"/>
          <w:szCs w:val="21"/>
          <w:lang w:val="en-US" w:eastAsia="zh-CN"/>
        </w:rPr>
        <w:t xml:space="preserve"> 环境空气监测结果统计表</w:t>
      </w:r>
    </w:p>
    <w:tbl>
      <w:tblPr>
        <w:tblStyle w:val="16"/>
        <w:tblW w:w="8247" w:type="dxa"/>
        <w:jc w:val="center"/>
        <w:tblInd w:w="1186"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10"/>
        <w:gridCol w:w="2086"/>
        <w:gridCol w:w="2144"/>
        <w:gridCol w:w="230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247" w:type="dxa"/>
            <w:gridSpan w:val="4"/>
            <w:tcBorders>
              <w:tl2br w:val="nil"/>
              <w:tr2bl w:val="nil"/>
            </w:tcBorders>
            <w:vAlign w:val="center"/>
          </w:tcPr>
          <w:p>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监测结果（单位：</w:t>
            </w:r>
            <w:r>
              <w:rPr>
                <w:rFonts w:hint="default" w:ascii="Times New Roman" w:hAnsi="Times New Roman" w:cs="Times New Roman"/>
                <w:color w:val="auto"/>
                <w:sz w:val="21"/>
                <w:szCs w:val="21"/>
                <w:lang w:val="en-US" w:eastAsia="zh-CN"/>
              </w:rPr>
              <w:t>μ</w:t>
            </w:r>
            <w:r>
              <w:rPr>
                <w:rFonts w:hint="default" w:ascii="Times New Roman" w:hAnsi="Times New Roman" w:cs="Times New Roman"/>
                <w:color w:val="auto"/>
                <w:sz w:val="21"/>
                <w:szCs w:val="21"/>
              </w:rPr>
              <w:t>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710" w:type="dxa"/>
            <w:tcBorders>
              <w:tl2br w:val="nil"/>
              <w:tr2bl w:val="nil"/>
            </w:tcBorders>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监测点位</w:t>
            </w:r>
          </w:p>
        </w:tc>
        <w:tc>
          <w:tcPr>
            <w:tcW w:w="2086" w:type="dxa"/>
            <w:tcBorders>
              <w:tl2br w:val="nil"/>
              <w:tr2bl w:val="nil"/>
            </w:tcBorders>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检测因子</w:t>
            </w:r>
          </w:p>
        </w:tc>
        <w:tc>
          <w:tcPr>
            <w:tcW w:w="2144" w:type="dxa"/>
            <w:tcBorders>
              <w:tl2br w:val="nil"/>
              <w:tr2bl w:val="nil"/>
            </w:tcBorders>
            <w:vAlign w:val="center"/>
          </w:tcPr>
          <w:p>
            <w:pPr>
              <w:spacing w:line="240" w:lineRule="auto"/>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2017.10.8</w:t>
            </w:r>
          </w:p>
        </w:tc>
        <w:tc>
          <w:tcPr>
            <w:tcW w:w="2307" w:type="dxa"/>
            <w:tcBorders>
              <w:tl2br w:val="nil"/>
              <w:tr2bl w:val="nil"/>
            </w:tcBorders>
            <w:vAlign w:val="center"/>
          </w:tcPr>
          <w:p>
            <w:pPr>
              <w:spacing w:line="240" w:lineRule="auto"/>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2017.10.9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710" w:type="dxa"/>
            <w:tcBorders>
              <w:tl2br w:val="nil"/>
              <w:tr2bl w:val="nil"/>
            </w:tcBorders>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G1张家</w:t>
            </w:r>
          </w:p>
        </w:tc>
        <w:tc>
          <w:tcPr>
            <w:tcW w:w="2086" w:type="dxa"/>
            <w:tcBorders>
              <w:tl2br w:val="nil"/>
              <w:tr2bl w:val="nil"/>
            </w:tcBorders>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2144" w:type="dxa"/>
            <w:tcBorders>
              <w:tl2br w:val="nil"/>
              <w:tr2bl w:val="nil"/>
            </w:tcBorders>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104</w:t>
            </w:r>
          </w:p>
        </w:tc>
        <w:tc>
          <w:tcPr>
            <w:tcW w:w="2307" w:type="dxa"/>
            <w:tcBorders>
              <w:tl2br w:val="nil"/>
              <w:tr2bl w:val="nil"/>
            </w:tcBorders>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796" w:type="dxa"/>
            <w:gridSpan w:val="2"/>
            <w:tcBorders>
              <w:tl2br w:val="nil"/>
              <w:tr2bl w:val="nil"/>
            </w:tcBorders>
            <w:vAlign w:val="center"/>
          </w:tcPr>
          <w:p>
            <w:pPr>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标准值</w:t>
            </w:r>
          </w:p>
        </w:tc>
        <w:tc>
          <w:tcPr>
            <w:tcW w:w="2144" w:type="dxa"/>
            <w:tcBorders>
              <w:tl2br w:val="nil"/>
              <w:tr2bl w:val="nil"/>
            </w:tcBorders>
            <w:vAlign w:val="center"/>
          </w:tcPr>
          <w:p>
            <w:pPr>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300</w:t>
            </w:r>
          </w:p>
        </w:tc>
        <w:tc>
          <w:tcPr>
            <w:tcW w:w="2307" w:type="dxa"/>
            <w:tcBorders>
              <w:tl2br w:val="nil"/>
              <w:tr2bl w:val="nil"/>
            </w:tcBorders>
            <w:vAlign w:val="center"/>
          </w:tcPr>
          <w:p>
            <w:pPr>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300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796" w:type="dxa"/>
            <w:gridSpan w:val="2"/>
            <w:tcBorders>
              <w:tl2br w:val="nil"/>
              <w:tr2bl w:val="nil"/>
            </w:tcBorders>
            <w:vAlign w:val="center"/>
          </w:tcPr>
          <w:p>
            <w:pPr>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达标情况</w:t>
            </w:r>
          </w:p>
        </w:tc>
        <w:tc>
          <w:tcPr>
            <w:tcW w:w="2144" w:type="dxa"/>
            <w:tcBorders>
              <w:tl2br w:val="nil"/>
              <w:tr2bl w:val="nil"/>
            </w:tcBorders>
            <w:vAlign w:val="center"/>
          </w:tcPr>
          <w:p>
            <w:pPr>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达标</w:t>
            </w:r>
          </w:p>
        </w:tc>
        <w:tc>
          <w:tcPr>
            <w:tcW w:w="2307" w:type="dxa"/>
            <w:tcBorders>
              <w:tl2br w:val="nil"/>
              <w:tr2bl w:val="nil"/>
            </w:tcBorders>
            <w:vAlign w:val="center"/>
          </w:tcPr>
          <w:p>
            <w:pPr>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达标</w:t>
            </w:r>
          </w:p>
        </w:tc>
      </w:tr>
    </w:tbl>
    <w:p>
      <w:pPr>
        <w:pStyle w:val="5"/>
        <w:rPr>
          <w:rFonts w:hint="eastAsia"/>
          <w:color w:val="auto"/>
          <w:lang w:val="en-US" w:eastAsia="zh-CN"/>
        </w:rPr>
      </w:pPr>
      <w:r>
        <w:rPr>
          <w:rFonts w:hint="eastAsia"/>
          <w:color w:val="auto"/>
          <w:lang w:val="en-US" w:eastAsia="zh-CN"/>
        </w:rPr>
        <w:t>7.4.7有效性分析</w:t>
      </w:r>
    </w:p>
    <w:p>
      <w:pPr>
        <w:ind w:firstLine="480" w:firstLineChars="200"/>
        <w:rPr>
          <w:rFonts w:hint="eastAsia"/>
          <w:color w:val="auto"/>
          <w:lang w:val="en-US" w:eastAsia="zh-CN"/>
        </w:rPr>
      </w:pPr>
      <w:r>
        <w:rPr>
          <w:rFonts w:hint="eastAsia"/>
          <w:color w:val="auto"/>
          <w:lang w:eastAsia="zh-CN"/>
        </w:rPr>
        <w:t>由结果数据可知，项目地表作业区厂界</w:t>
      </w:r>
      <w:r>
        <w:rPr>
          <w:rFonts w:hint="eastAsia"/>
          <w:color w:val="auto"/>
          <w:lang w:val="en-US" w:eastAsia="zh-CN"/>
        </w:rPr>
        <w:t>颗粒物的无组织排放浓度满足</w:t>
      </w:r>
      <w:r>
        <w:rPr>
          <w:rFonts w:hint="eastAsia" w:ascii="Times New Roman" w:hAnsi="Times New Roman" w:cs="Times New Roman"/>
          <w:b w:val="0"/>
          <w:bCs w:val="0"/>
          <w:color w:val="auto"/>
          <w:sz w:val="24"/>
          <w:szCs w:val="24"/>
          <w:lang w:val="en-US" w:eastAsia="zh-CN"/>
        </w:rPr>
        <w:t>《铅、锌工业污染物排放标准》（GB25466-2010）表6限值要求</w:t>
      </w:r>
      <w:r>
        <w:rPr>
          <w:rFonts w:hint="eastAsia" w:cs="Times New Roman"/>
          <w:b w:val="0"/>
          <w:bCs w:val="0"/>
          <w:color w:val="auto"/>
          <w:sz w:val="24"/>
          <w:szCs w:val="24"/>
          <w:lang w:val="en-US" w:eastAsia="zh-CN"/>
        </w:rPr>
        <w:t>；</w:t>
      </w:r>
      <w:r>
        <w:rPr>
          <w:rFonts w:hint="default" w:ascii="Times New Roman" w:hAnsi="Times New Roman" w:eastAsia="宋体" w:cs="Times New Roman"/>
          <w:color w:val="auto"/>
          <w:lang w:val="en-US" w:eastAsia="zh-CN"/>
        </w:rPr>
        <w:t>姚街铅锌矿</w:t>
      </w:r>
      <w:r>
        <w:rPr>
          <w:rFonts w:hint="default" w:ascii="Times New Roman" w:hAnsi="Times New Roman" w:eastAsia="宋体" w:cs="Times New Roman"/>
          <w:color w:val="auto"/>
          <w:shd w:val="clear" w:color="auto" w:fill="auto"/>
          <w:lang w:eastAsia="zh-CN"/>
        </w:rPr>
        <w:t>附近</w:t>
      </w:r>
      <w:r>
        <w:rPr>
          <w:rFonts w:hint="eastAsia" w:ascii="Times New Roman" w:hAnsi="Times New Roman" w:eastAsia="宋体" w:cs="Times New Roman"/>
          <w:color w:val="auto"/>
          <w:shd w:val="clear" w:color="auto" w:fill="auto"/>
          <w:lang w:val="en-US" w:eastAsia="zh-CN"/>
        </w:rPr>
        <w:t>环境空气质量</w:t>
      </w:r>
      <w:r>
        <w:rPr>
          <w:rFonts w:hint="default" w:ascii="Times New Roman" w:hAnsi="Times New Roman" w:eastAsia="宋体" w:cs="Times New Roman"/>
          <w:color w:val="auto"/>
          <w:shd w:val="clear" w:color="auto" w:fill="auto"/>
        </w:rPr>
        <w:t>能达到</w:t>
      </w:r>
      <w:r>
        <w:rPr>
          <w:rFonts w:hint="default" w:ascii="Times New Roman" w:hAnsi="Times New Roman" w:cs="Times New Roman"/>
          <w:color w:val="auto"/>
          <w:sz w:val="24"/>
          <w:szCs w:val="24"/>
        </w:rPr>
        <w:t>《环境空气质量标准</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（GB3095-2012）</w:t>
      </w:r>
      <w:r>
        <w:rPr>
          <w:rFonts w:hint="default" w:ascii="Times New Roman" w:hAnsi="Times New Roman" w:cs="Times New Roman"/>
          <w:color w:val="auto"/>
          <w:sz w:val="24"/>
          <w:szCs w:val="24"/>
          <w:lang w:eastAsia="zh-CN"/>
        </w:rPr>
        <w:t>二级标准要求</w:t>
      </w:r>
      <w:r>
        <w:rPr>
          <w:rFonts w:hint="default" w:ascii="Times New Roman" w:hAnsi="Times New Roman" w:eastAsia="宋体" w:cs="Times New Roman"/>
          <w:color w:val="auto"/>
          <w:lang w:val="en-US" w:eastAsia="zh-CN"/>
        </w:rPr>
        <w:t>，证明至现阶段为止，姚街铅锌矿采矿工作并未对附近的</w:t>
      </w:r>
      <w:r>
        <w:rPr>
          <w:rFonts w:hint="eastAsia" w:ascii="Times New Roman" w:hAnsi="Times New Roman" w:eastAsia="宋体" w:cs="Times New Roman"/>
          <w:color w:val="auto"/>
          <w:lang w:val="en-US" w:eastAsia="zh-CN"/>
        </w:rPr>
        <w:t>环境空气质量</w:t>
      </w:r>
      <w:r>
        <w:rPr>
          <w:rFonts w:hint="default" w:ascii="Times New Roman" w:hAnsi="Times New Roman" w:eastAsia="宋体" w:cs="Times New Roman"/>
          <w:color w:val="auto"/>
          <w:lang w:val="en-US" w:eastAsia="zh-CN"/>
        </w:rPr>
        <w:t>造成明显影响，在对周边自然环境质量无其他方面影响的情况下，可认为本项目的建设与运行对周边环境质量无明显影响</w:t>
      </w:r>
      <w:r>
        <w:rPr>
          <w:rFonts w:hint="eastAsia" w:cs="Times New Roman"/>
          <w:color w:val="auto"/>
          <w:lang w:val="en-US" w:eastAsia="zh-CN"/>
        </w:rPr>
        <w:t>，项目对废气产生源控制及废气治理措施是有效可行的。</w:t>
      </w:r>
    </w:p>
    <w:p>
      <w:pPr>
        <w:pStyle w:val="5"/>
        <w:rPr>
          <w:rFonts w:hint="eastAsia"/>
          <w:color w:val="auto"/>
          <w:lang w:val="en-US" w:eastAsia="zh-CN"/>
        </w:rPr>
      </w:pPr>
      <w:r>
        <w:rPr>
          <w:rFonts w:hint="eastAsia"/>
          <w:color w:val="auto"/>
          <w:lang w:val="en-US" w:eastAsia="zh-CN"/>
        </w:rPr>
        <w:t>7.4.8建议</w:t>
      </w:r>
    </w:p>
    <w:p>
      <w:pPr>
        <w:pStyle w:val="2"/>
        <w:ind w:firstLine="480" w:firstLineChars="200"/>
        <w:rPr>
          <w:rFonts w:hint="eastAsia"/>
          <w:lang w:val="en-US" w:eastAsia="zh-CN"/>
        </w:rPr>
      </w:pPr>
      <w:r>
        <w:rPr>
          <w:rFonts w:hint="eastAsia"/>
          <w:color w:val="auto"/>
          <w:lang w:val="en-US" w:eastAsia="zh-CN"/>
        </w:rPr>
        <w:t>运行时需加强</w:t>
      </w:r>
      <w:r>
        <w:rPr>
          <w:rFonts w:hint="eastAsia"/>
          <w:lang w:val="en-US" w:eastAsia="zh-CN"/>
        </w:rPr>
        <w:t>矿区环境管理工作，做好环保设施定期巡视和维护管理，在高温和干燥、大风天气，加强矿区洒水抑尘。</w:t>
      </w:r>
    </w:p>
    <w:p>
      <w:pPr>
        <w:pStyle w:val="4"/>
        <w:rPr>
          <w:rFonts w:hint="eastAsia"/>
          <w:lang w:val="en-US" w:eastAsia="zh-CN"/>
        </w:rPr>
      </w:pPr>
      <w:bookmarkStart w:id="285" w:name="_Toc3904"/>
      <w:r>
        <w:rPr>
          <w:rFonts w:hint="eastAsia"/>
          <w:lang w:val="en-US" w:eastAsia="zh-CN"/>
        </w:rPr>
        <w:t xml:space="preserve">7.5 </w:t>
      </w:r>
      <w:bookmarkStart w:id="286" w:name="_Toc6598"/>
      <w:r>
        <w:rPr>
          <w:rFonts w:hint="eastAsia"/>
          <w:lang w:val="en-US" w:eastAsia="zh-CN"/>
        </w:rPr>
        <w:t>声环境影响调查</w:t>
      </w:r>
      <w:bookmarkEnd w:id="285"/>
      <w:bookmarkEnd w:id="286"/>
    </w:p>
    <w:p>
      <w:pPr>
        <w:pStyle w:val="5"/>
        <w:rPr>
          <w:rFonts w:hint="eastAsia"/>
          <w:lang w:val="en-US" w:eastAsia="zh-CN"/>
        </w:rPr>
      </w:pPr>
      <w:r>
        <w:rPr>
          <w:rFonts w:hint="eastAsia"/>
          <w:lang w:val="en-US" w:eastAsia="zh-CN"/>
        </w:rPr>
        <w:t>7.5.1噪声污染源及治理</w:t>
      </w:r>
    </w:p>
    <w:p>
      <w:pPr>
        <w:spacing w:line="360" w:lineRule="auto"/>
        <w:ind w:firstLine="480" w:firstLineChars="200"/>
        <w:rPr>
          <w:color w:val="000000"/>
          <w:sz w:val="24"/>
        </w:rPr>
      </w:pPr>
      <w:r>
        <w:rPr>
          <w:color w:val="000000"/>
          <w:sz w:val="24"/>
        </w:rPr>
        <w:t>本工程主要设备噪声源</w:t>
      </w:r>
      <w:r>
        <w:rPr>
          <w:rFonts w:hint="eastAsia"/>
          <w:color w:val="000000"/>
          <w:sz w:val="24"/>
        </w:rPr>
        <w:t>为矿井营运期的提升机、空气压缩机、轴流式风机等</w:t>
      </w:r>
      <w:r>
        <w:rPr>
          <w:color w:val="000000"/>
          <w:sz w:val="24"/>
        </w:rPr>
        <w:t>。</w:t>
      </w:r>
    </w:p>
    <w:p>
      <w:pPr>
        <w:spacing w:line="360" w:lineRule="auto"/>
        <w:ind w:firstLine="480"/>
        <w:rPr>
          <w:color w:val="000000"/>
          <w:sz w:val="24"/>
        </w:rPr>
      </w:pPr>
      <w:r>
        <w:rPr>
          <w:color w:val="000000"/>
          <w:sz w:val="24"/>
        </w:rPr>
        <w:t>提升机房噪声控制措施：</w:t>
      </w:r>
      <w:r>
        <w:rPr>
          <w:rFonts w:hint="eastAsia"/>
          <w:color w:val="000000"/>
          <w:sz w:val="24"/>
          <w:lang w:eastAsia="zh-CN"/>
        </w:rPr>
        <w:t>（</w:t>
      </w:r>
      <w:r>
        <w:rPr>
          <w:rFonts w:hint="eastAsia"/>
          <w:color w:val="000000"/>
          <w:sz w:val="24"/>
          <w:lang w:val="en-US" w:eastAsia="zh-CN"/>
        </w:rPr>
        <w:t>1</w:t>
      </w:r>
      <w:r>
        <w:rPr>
          <w:rFonts w:hint="eastAsia"/>
          <w:color w:val="000000"/>
          <w:sz w:val="24"/>
          <w:lang w:eastAsia="zh-CN"/>
        </w:rPr>
        <w:t>）</w:t>
      </w:r>
      <w:r>
        <w:rPr>
          <w:color w:val="000000"/>
          <w:sz w:val="24"/>
        </w:rPr>
        <w:t>驱动装置和电动机设置</w:t>
      </w:r>
      <w:r>
        <w:rPr>
          <w:rFonts w:hint="eastAsia"/>
          <w:color w:val="000000"/>
          <w:sz w:val="24"/>
          <w:lang w:eastAsia="zh-CN"/>
        </w:rPr>
        <w:t>了</w:t>
      </w:r>
      <w:r>
        <w:rPr>
          <w:color w:val="000000"/>
          <w:sz w:val="24"/>
        </w:rPr>
        <w:t>减振基础；</w:t>
      </w:r>
      <w:r>
        <w:rPr>
          <w:rFonts w:hint="eastAsia"/>
          <w:color w:val="000000"/>
          <w:sz w:val="24"/>
          <w:lang w:eastAsia="zh-CN"/>
        </w:rPr>
        <w:t>（</w:t>
      </w:r>
      <w:r>
        <w:rPr>
          <w:rFonts w:hint="eastAsia"/>
          <w:color w:val="000000"/>
          <w:sz w:val="24"/>
          <w:lang w:val="en-US" w:eastAsia="zh-CN"/>
        </w:rPr>
        <w:t>2</w:t>
      </w:r>
      <w:r>
        <w:rPr>
          <w:rFonts w:hint="eastAsia"/>
          <w:color w:val="000000"/>
          <w:sz w:val="24"/>
          <w:lang w:eastAsia="zh-CN"/>
        </w:rPr>
        <w:t>）</w:t>
      </w:r>
      <w:r>
        <w:rPr>
          <w:color w:val="000000"/>
          <w:sz w:val="24"/>
        </w:rPr>
        <w:t>提升机头安装</w:t>
      </w:r>
      <w:r>
        <w:rPr>
          <w:rFonts w:hint="eastAsia"/>
          <w:color w:val="000000"/>
          <w:sz w:val="24"/>
          <w:lang w:eastAsia="zh-CN"/>
        </w:rPr>
        <w:t>了</w:t>
      </w:r>
      <w:r>
        <w:rPr>
          <w:color w:val="000000"/>
          <w:sz w:val="24"/>
        </w:rPr>
        <w:t>可拆式钢板结构隔声箱，钢板内侧涂阻尼材料并衬吸声材料；</w:t>
      </w:r>
      <w:r>
        <w:rPr>
          <w:rFonts w:hint="eastAsia"/>
          <w:color w:val="000000"/>
          <w:sz w:val="24"/>
          <w:lang w:eastAsia="zh-CN"/>
        </w:rPr>
        <w:t>（</w:t>
      </w:r>
      <w:r>
        <w:rPr>
          <w:rFonts w:hint="eastAsia"/>
          <w:color w:val="000000"/>
          <w:sz w:val="24"/>
          <w:lang w:val="en-US" w:eastAsia="zh-CN"/>
        </w:rPr>
        <w:t>3</w:t>
      </w:r>
      <w:r>
        <w:rPr>
          <w:rFonts w:hint="eastAsia"/>
          <w:color w:val="000000"/>
          <w:sz w:val="24"/>
          <w:lang w:eastAsia="zh-CN"/>
        </w:rPr>
        <w:t>）</w:t>
      </w:r>
      <w:r>
        <w:rPr>
          <w:color w:val="000000"/>
          <w:sz w:val="24"/>
        </w:rPr>
        <w:t>提升机房内墙、顶棚铺设</w:t>
      </w:r>
      <w:r>
        <w:rPr>
          <w:rFonts w:hint="eastAsia"/>
          <w:color w:val="000000"/>
          <w:sz w:val="24"/>
          <w:lang w:eastAsia="zh-CN"/>
        </w:rPr>
        <w:t>了</w:t>
      </w:r>
      <w:r>
        <w:rPr>
          <w:color w:val="000000"/>
          <w:sz w:val="24"/>
        </w:rPr>
        <w:t>吸声结构材料，门窗采用密封性能和隔声效果较好的塑钢门窗</w:t>
      </w:r>
      <w:r>
        <w:rPr>
          <w:rFonts w:hint="eastAsia" w:ascii="宋体" w:hAnsi="宋体"/>
          <w:color w:val="000000"/>
          <w:sz w:val="24"/>
          <w:lang w:eastAsia="zh-CN"/>
        </w:rPr>
        <w:t>。</w:t>
      </w:r>
    </w:p>
    <w:p>
      <w:pPr>
        <w:spacing w:line="360" w:lineRule="auto"/>
        <w:ind w:firstLine="480"/>
        <w:rPr>
          <w:color w:val="000000"/>
          <w:sz w:val="24"/>
        </w:rPr>
      </w:pPr>
      <w:r>
        <w:rPr>
          <w:color w:val="000000"/>
          <w:sz w:val="24"/>
        </w:rPr>
        <w:t>2</w:t>
      </w:r>
      <w:r>
        <w:rPr>
          <w:rFonts w:hint="eastAsia" w:ascii="宋体" w:hAnsi="宋体" w:eastAsia="宋体" w:cs="宋体"/>
          <w:color w:val="000000"/>
          <w:sz w:val="24"/>
          <w:lang w:val="en-US" w:eastAsia="zh-CN"/>
        </w:rPr>
        <w:t>.</w:t>
      </w:r>
      <w:r>
        <w:rPr>
          <w:color w:val="000000"/>
          <w:sz w:val="24"/>
        </w:rPr>
        <w:t>空压机房噪声控制</w:t>
      </w:r>
    </w:p>
    <w:p>
      <w:pPr>
        <w:spacing w:line="360" w:lineRule="auto"/>
        <w:ind w:firstLine="480"/>
        <w:rPr>
          <w:color w:val="000000"/>
          <w:sz w:val="24"/>
        </w:rPr>
      </w:pPr>
      <w:r>
        <w:rPr>
          <w:color w:val="000000"/>
          <w:sz w:val="24"/>
        </w:rPr>
        <w:t>空压机房噪声控制措施：</w:t>
      </w:r>
      <w:r>
        <w:rPr>
          <w:rFonts w:hint="eastAsia"/>
          <w:color w:val="000000"/>
          <w:sz w:val="24"/>
          <w:lang w:eastAsia="zh-CN"/>
        </w:rPr>
        <w:t>（</w:t>
      </w:r>
      <w:r>
        <w:rPr>
          <w:rFonts w:hint="eastAsia"/>
          <w:color w:val="000000"/>
          <w:sz w:val="24"/>
          <w:lang w:val="en-US" w:eastAsia="zh-CN"/>
        </w:rPr>
        <w:t>1</w:t>
      </w:r>
      <w:r>
        <w:rPr>
          <w:rFonts w:hint="eastAsia"/>
          <w:color w:val="000000"/>
          <w:sz w:val="24"/>
          <w:lang w:eastAsia="zh-CN"/>
        </w:rPr>
        <w:t>）</w:t>
      </w:r>
      <w:r>
        <w:rPr>
          <w:rFonts w:hint="eastAsia"/>
          <w:color w:val="000000"/>
          <w:sz w:val="24"/>
        </w:rPr>
        <w:t>压风机设置在砖墙建筑物室内，</w:t>
      </w:r>
      <w:r>
        <w:rPr>
          <w:color w:val="000000"/>
          <w:sz w:val="24"/>
        </w:rPr>
        <w:t>空气压缩机和电动机均设置减振基础；</w:t>
      </w:r>
      <w:r>
        <w:rPr>
          <w:rFonts w:hint="eastAsia"/>
          <w:color w:val="000000"/>
          <w:sz w:val="24"/>
          <w:lang w:eastAsia="zh-CN"/>
        </w:rPr>
        <w:t>（</w:t>
      </w:r>
      <w:r>
        <w:rPr>
          <w:rFonts w:hint="eastAsia"/>
          <w:color w:val="000000"/>
          <w:sz w:val="24"/>
          <w:lang w:val="en-US" w:eastAsia="zh-CN"/>
        </w:rPr>
        <w:t>2</w:t>
      </w:r>
      <w:r>
        <w:rPr>
          <w:rFonts w:hint="eastAsia"/>
          <w:color w:val="000000"/>
          <w:sz w:val="24"/>
          <w:lang w:eastAsia="zh-CN"/>
        </w:rPr>
        <w:t>）</w:t>
      </w:r>
      <w:r>
        <w:rPr>
          <w:color w:val="000000"/>
          <w:sz w:val="24"/>
        </w:rPr>
        <w:t>机房的内墙表面</w:t>
      </w:r>
      <w:r>
        <w:rPr>
          <w:rFonts w:hint="eastAsia"/>
          <w:color w:val="000000"/>
          <w:sz w:val="24"/>
        </w:rPr>
        <w:t>和顶棚设置龙骨+吸声棉+吸声空板，</w:t>
      </w:r>
      <w:r>
        <w:rPr>
          <w:color w:val="000000"/>
          <w:sz w:val="24"/>
        </w:rPr>
        <w:t>敷设ZX系列吸声板</w:t>
      </w:r>
      <w:r>
        <w:rPr>
          <w:rFonts w:hint="eastAsia"/>
          <w:color w:val="000000"/>
          <w:sz w:val="24"/>
        </w:rPr>
        <w:t>，设置隔声窗</w:t>
      </w:r>
      <w:r>
        <w:rPr>
          <w:rFonts w:hint="eastAsia" w:ascii="宋体" w:hAnsi="宋体"/>
          <w:color w:val="000000"/>
          <w:sz w:val="24"/>
        </w:rPr>
        <w:t>。</w:t>
      </w:r>
    </w:p>
    <w:p>
      <w:pPr>
        <w:spacing w:line="360" w:lineRule="auto"/>
        <w:ind w:firstLine="480"/>
        <w:rPr>
          <w:color w:val="000000"/>
          <w:sz w:val="24"/>
        </w:rPr>
      </w:pPr>
      <w:r>
        <w:rPr>
          <w:rFonts w:hint="eastAsia"/>
          <w:color w:val="000000"/>
          <w:sz w:val="24"/>
        </w:rPr>
        <w:t>3</w:t>
      </w:r>
      <w:r>
        <w:rPr>
          <w:rFonts w:hint="eastAsia" w:ascii="宋体" w:hAnsi="宋体" w:eastAsia="宋体" w:cs="宋体"/>
          <w:color w:val="000000"/>
          <w:sz w:val="24"/>
          <w:lang w:val="en-US" w:eastAsia="zh-CN"/>
        </w:rPr>
        <w:t>.</w:t>
      </w:r>
      <w:r>
        <w:rPr>
          <w:rFonts w:hint="eastAsia"/>
          <w:color w:val="000000"/>
          <w:sz w:val="24"/>
        </w:rPr>
        <w:t>通</w:t>
      </w:r>
      <w:r>
        <w:rPr>
          <w:color w:val="000000"/>
          <w:sz w:val="24"/>
        </w:rPr>
        <w:t>风机噪声控制</w:t>
      </w:r>
    </w:p>
    <w:p>
      <w:pPr>
        <w:spacing w:line="360" w:lineRule="auto"/>
        <w:ind w:firstLine="480"/>
        <w:rPr>
          <w:rFonts w:hint="eastAsia" w:ascii="宋体" w:hAnsi="宋体"/>
          <w:color w:val="000000"/>
          <w:sz w:val="24"/>
        </w:rPr>
      </w:pPr>
      <w:r>
        <w:rPr>
          <w:rFonts w:hint="eastAsia"/>
          <w:color w:val="000000"/>
          <w:sz w:val="24"/>
        </w:rPr>
        <w:t>通</w:t>
      </w:r>
      <w:r>
        <w:rPr>
          <w:color w:val="000000"/>
          <w:sz w:val="24"/>
        </w:rPr>
        <w:t>风机噪声控制措施：</w:t>
      </w:r>
      <w:r>
        <w:rPr>
          <w:rFonts w:hint="eastAsia"/>
          <w:color w:val="000000"/>
          <w:sz w:val="24"/>
          <w:lang w:eastAsia="zh-CN"/>
        </w:rPr>
        <w:t>（</w:t>
      </w:r>
      <w:r>
        <w:rPr>
          <w:rFonts w:hint="eastAsia"/>
          <w:color w:val="000000"/>
          <w:sz w:val="24"/>
          <w:lang w:val="en-US" w:eastAsia="zh-CN"/>
        </w:rPr>
        <w:t>1</w:t>
      </w:r>
      <w:r>
        <w:rPr>
          <w:rFonts w:hint="eastAsia"/>
          <w:color w:val="000000"/>
          <w:sz w:val="24"/>
          <w:lang w:eastAsia="zh-CN"/>
        </w:rPr>
        <w:t>）</w:t>
      </w:r>
      <w:r>
        <w:rPr>
          <w:color w:val="000000"/>
          <w:sz w:val="24"/>
        </w:rPr>
        <w:t>风机布置在</w:t>
      </w:r>
      <w:r>
        <w:rPr>
          <w:rFonts w:hint="eastAsia"/>
          <w:color w:val="000000"/>
          <w:sz w:val="24"/>
        </w:rPr>
        <w:t>砖墙建筑物</w:t>
      </w:r>
      <w:r>
        <w:rPr>
          <w:color w:val="000000"/>
          <w:sz w:val="24"/>
        </w:rPr>
        <w:t>室内；</w:t>
      </w:r>
      <w:r>
        <w:rPr>
          <w:rFonts w:hint="eastAsia"/>
          <w:color w:val="000000"/>
          <w:sz w:val="24"/>
          <w:lang w:eastAsia="zh-CN"/>
        </w:rPr>
        <w:t>（</w:t>
      </w:r>
      <w:r>
        <w:rPr>
          <w:rFonts w:hint="eastAsia"/>
          <w:color w:val="000000"/>
          <w:sz w:val="24"/>
          <w:lang w:val="en-US" w:eastAsia="zh-CN"/>
        </w:rPr>
        <w:t>2</w:t>
      </w:r>
      <w:r>
        <w:rPr>
          <w:rFonts w:hint="eastAsia"/>
          <w:color w:val="000000"/>
          <w:sz w:val="24"/>
          <w:lang w:eastAsia="zh-CN"/>
        </w:rPr>
        <w:t>）</w:t>
      </w:r>
      <w:r>
        <w:rPr>
          <w:color w:val="000000"/>
          <w:sz w:val="24"/>
        </w:rPr>
        <w:t>风机和电动机安装时设置减振基础；</w:t>
      </w:r>
      <w:r>
        <w:rPr>
          <w:rFonts w:hint="eastAsia"/>
          <w:color w:val="000000"/>
          <w:sz w:val="24"/>
          <w:lang w:eastAsia="zh-CN"/>
        </w:rPr>
        <w:t>（</w:t>
      </w:r>
      <w:r>
        <w:rPr>
          <w:rFonts w:hint="eastAsia"/>
          <w:color w:val="000000"/>
          <w:sz w:val="24"/>
          <w:lang w:val="en-US" w:eastAsia="zh-CN"/>
        </w:rPr>
        <w:t>3</w:t>
      </w:r>
      <w:r>
        <w:rPr>
          <w:rFonts w:hint="eastAsia"/>
          <w:color w:val="000000"/>
          <w:sz w:val="24"/>
          <w:lang w:eastAsia="zh-CN"/>
        </w:rPr>
        <w:t>）</w:t>
      </w:r>
      <w:r>
        <w:rPr>
          <w:rFonts w:hint="eastAsia"/>
          <w:color w:val="000000"/>
          <w:sz w:val="24"/>
        </w:rPr>
        <w:t>排风口</w:t>
      </w:r>
      <w:r>
        <w:rPr>
          <w:color w:val="000000"/>
          <w:sz w:val="24"/>
        </w:rPr>
        <w:t>处各安装1台ZT系列阻抗复合消声器，</w:t>
      </w:r>
      <w:r>
        <w:rPr>
          <w:rFonts w:hint="eastAsia"/>
          <w:color w:val="000000"/>
          <w:sz w:val="24"/>
          <w:lang w:eastAsia="zh-CN"/>
        </w:rPr>
        <w:t>（</w:t>
      </w:r>
      <w:r>
        <w:rPr>
          <w:rFonts w:hint="eastAsia"/>
          <w:color w:val="000000"/>
          <w:sz w:val="24"/>
          <w:lang w:val="en-US" w:eastAsia="zh-CN"/>
        </w:rPr>
        <w:t>4</w:t>
      </w:r>
      <w:r>
        <w:rPr>
          <w:rFonts w:hint="eastAsia"/>
          <w:color w:val="000000"/>
          <w:sz w:val="24"/>
          <w:lang w:eastAsia="zh-CN"/>
        </w:rPr>
        <w:t>）</w:t>
      </w:r>
      <w:r>
        <w:rPr>
          <w:color w:val="000000"/>
          <w:sz w:val="24"/>
        </w:rPr>
        <w:t>在机房内墙表面及房顶敷设ZX系列吸声结构，并设置隔声门窗；</w:t>
      </w:r>
      <w:r>
        <w:rPr>
          <w:rFonts w:hint="eastAsia"/>
          <w:color w:val="000000"/>
          <w:sz w:val="24"/>
          <w:lang w:eastAsia="zh-CN"/>
        </w:rPr>
        <w:t>（</w:t>
      </w:r>
      <w:r>
        <w:rPr>
          <w:rFonts w:hint="eastAsia"/>
          <w:color w:val="000000"/>
          <w:sz w:val="24"/>
          <w:lang w:val="en-US" w:eastAsia="zh-CN"/>
        </w:rPr>
        <w:t>5</w:t>
      </w:r>
      <w:r>
        <w:rPr>
          <w:rFonts w:hint="eastAsia"/>
          <w:color w:val="000000"/>
          <w:sz w:val="24"/>
          <w:lang w:eastAsia="zh-CN"/>
        </w:rPr>
        <w:t>）</w:t>
      </w:r>
      <w:r>
        <w:rPr>
          <w:color w:val="000000"/>
          <w:sz w:val="24"/>
        </w:rPr>
        <w:t>设置隔声值班室</w:t>
      </w:r>
      <w:r>
        <w:rPr>
          <w:rFonts w:hint="eastAsia" w:ascii="宋体" w:hAnsi="宋体"/>
          <w:color w:val="000000"/>
          <w:sz w:val="24"/>
        </w:rPr>
        <w:t>。</w:t>
      </w:r>
    </w:p>
    <w:p>
      <w:pPr>
        <w:spacing w:line="360" w:lineRule="auto"/>
        <w:ind w:firstLine="480"/>
        <w:rPr>
          <w:color w:val="000000"/>
          <w:sz w:val="24"/>
        </w:rPr>
      </w:pPr>
      <w:r>
        <w:rPr>
          <w:rFonts w:hint="eastAsia"/>
          <w:color w:val="000000"/>
          <w:sz w:val="24"/>
          <w:lang w:val="en-US" w:eastAsia="zh-CN"/>
        </w:rPr>
        <w:t>4</w:t>
      </w:r>
      <w:r>
        <w:rPr>
          <w:rFonts w:hint="eastAsia" w:ascii="宋体" w:hAnsi="宋体" w:eastAsia="宋体" w:cs="宋体"/>
          <w:color w:val="000000"/>
          <w:sz w:val="24"/>
          <w:lang w:val="en-US" w:eastAsia="zh-CN"/>
        </w:rPr>
        <w:t>.</w:t>
      </w:r>
      <w:r>
        <w:rPr>
          <w:color w:val="000000"/>
          <w:sz w:val="24"/>
        </w:rPr>
        <w:t>机修车间噪声控制</w:t>
      </w:r>
    </w:p>
    <w:p>
      <w:pPr>
        <w:ind w:firstLine="480" w:firstLineChars="200"/>
        <w:rPr>
          <w:rFonts w:hint="eastAsia"/>
          <w:lang w:val="en-US" w:eastAsia="zh-CN"/>
        </w:rPr>
      </w:pPr>
      <w:r>
        <w:rPr>
          <w:color w:val="000000"/>
          <w:sz w:val="24"/>
        </w:rPr>
        <w:t>机修车间产噪设备为各类机械加工设备，选择低噪声设备，减少</w:t>
      </w:r>
      <w:r>
        <w:rPr>
          <w:rFonts w:hint="eastAsia"/>
          <w:color w:val="000000"/>
          <w:sz w:val="24"/>
          <w:lang w:eastAsia="zh-CN"/>
        </w:rPr>
        <w:t>了</w:t>
      </w:r>
      <w:r>
        <w:rPr>
          <w:color w:val="000000"/>
          <w:sz w:val="24"/>
        </w:rPr>
        <w:t>冲击性工艺，以焊代铆、以液压代冲击、以液压代气动等。机修车间设置隔声门窗</w:t>
      </w:r>
      <w:r>
        <w:rPr>
          <w:rFonts w:hint="eastAsia" w:ascii="宋体" w:hAnsi="宋体"/>
          <w:color w:val="000000"/>
          <w:sz w:val="24"/>
        </w:rPr>
        <w:t>。</w:t>
      </w:r>
    </w:p>
    <w:p>
      <w:pPr>
        <w:pStyle w:val="5"/>
        <w:rPr>
          <w:rFonts w:hint="eastAsia"/>
          <w:lang w:val="en-US" w:eastAsia="zh-CN"/>
        </w:rPr>
      </w:pPr>
      <w:r>
        <w:rPr>
          <w:rFonts w:hint="eastAsia"/>
          <w:lang w:val="en-US" w:eastAsia="zh-CN"/>
        </w:rPr>
        <w:t>7.5.2厂界噪声监测内容</w:t>
      </w:r>
    </w:p>
    <w:p>
      <w:pPr>
        <w:ind w:firstLine="480" w:firstLineChars="200"/>
        <w:rPr>
          <w:rFonts w:hint="eastAsia"/>
          <w:lang w:val="en-US" w:eastAsia="zh-CN"/>
        </w:rPr>
      </w:pPr>
      <w:r>
        <w:rPr>
          <w:rFonts w:hint="eastAsia"/>
          <w:lang w:val="en-US" w:eastAsia="zh-CN"/>
        </w:rPr>
        <w:t>厂界噪声监测具体内容见表7.5-1，</w:t>
      </w:r>
      <w:r>
        <w:rPr>
          <w:rFonts w:hint="eastAsia"/>
          <w:color w:val="auto"/>
          <w:lang w:val="en-US" w:eastAsia="zh-CN"/>
        </w:rPr>
        <w:t>监测点位见图7.1-1</w:t>
      </w:r>
      <w:r>
        <w:rPr>
          <w:rFonts w:hint="eastAsia"/>
          <w:lang w:val="en-US" w:eastAsia="zh-CN"/>
        </w:rPr>
        <w:t>。</w:t>
      </w:r>
    </w:p>
    <w:p>
      <w:pPr>
        <w:jc w:val="center"/>
        <w:rPr>
          <w:rFonts w:hint="eastAsia"/>
          <w:lang w:val="en-US" w:eastAsia="zh-CN"/>
        </w:rPr>
      </w:pPr>
      <w:r>
        <w:rPr>
          <w:rFonts w:hint="eastAsia"/>
          <w:b/>
          <w:bCs/>
          <w:sz w:val="21"/>
          <w:szCs w:val="21"/>
          <w:lang w:val="en-US" w:eastAsia="zh-CN"/>
        </w:rPr>
        <w:t>表7.5-1 厂界噪声监测内容</w:t>
      </w:r>
    </w:p>
    <w:tbl>
      <w:tblPr>
        <w:tblStyle w:val="17"/>
        <w:tblW w:w="854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5"/>
        <w:gridCol w:w="6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35" w:type="dxa"/>
            <w:tcBorders>
              <w:top w:val="double" w:color="auto" w:sz="4" w:space="0"/>
              <w:left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监测点位</w:t>
            </w:r>
          </w:p>
        </w:tc>
        <w:tc>
          <w:tcPr>
            <w:tcW w:w="6514" w:type="dxa"/>
            <w:tcBorders>
              <w:top w:val="double" w:color="auto" w:sz="4" w:space="0"/>
              <w:right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东南西北厂界六个点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35" w:type="dxa"/>
            <w:tcBorders>
              <w:left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监测因子</w:t>
            </w:r>
          </w:p>
        </w:tc>
        <w:tc>
          <w:tcPr>
            <w:tcW w:w="6514" w:type="dxa"/>
            <w:tcBorders>
              <w:right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噪声N1、N2、N3、N4、N5、N6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35" w:type="dxa"/>
            <w:tcBorders>
              <w:left w:val="nil"/>
              <w:bottom w:val="double" w:color="auto" w:sz="4" w:space="0"/>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监测频次及周期</w:t>
            </w:r>
          </w:p>
        </w:tc>
        <w:tc>
          <w:tcPr>
            <w:tcW w:w="6514" w:type="dxa"/>
            <w:tcBorders>
              <w:bottom w:val="double" w:color="auto" w:sz="4" w:space="0"/>
              <w:right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昼夜各一次，监测两天</w:t>
            </w:r>
          </w:p>
        </w:tc>
      </w:tr>
    </w:tbl>
    <w:p>
      <w:pPr>
        <w:pStyle w:val="5"/>
        <w:rPr>
          <w:rFonts w:hint="eastAsia"/>
          <w:lang w:val="en-US" w:eastAsia="zh-CN"/>
        </w:rPr>
      </w:pPr>
      <w:r>
        <w:rPr>
          <w:rFonts w:hint="eastAsia"/>
          <w:lang w:val="en-US" w:eastAsia="zh-CN"/>
        </w:rPr>
        <w:t>7.5.3噪声监测质量控制</w:t>
      </w:r>
    </w:p>
    <w:p>
      <w:pPr>
        <w:ind w:firstLine="480" w:firstLineChars="200"/>
        <w:rPr>
          <w:rFonts w:hint="eastAsia"/>
          <w:lang w:val="en-US" w:eastAsia="zh-CN"/>
        </w:rPr>
      </w:pPr>
      <w:r>
        <w:rPr>
          <w:rFonts w:hint="eastAsia"/>
          <w:lang w:val="en-US" w:eastAsia="zh-CN"/>
        </w:rPr>
        <w:t>噪声监测按照《工业企业厂界环境噪声排放标准》（GB 12348-2008）中规定的要求进行。监测时使用经计量部门检定，并在有效使用期内的声级计。</w:t>
      </w:r>
      <w:r>
        <w:rPr>
          <w:rFonts w:hint="default" w:ascii="Times New Roman" w:hAnsi="Times New Roman" w:eastAsia="宋体" w:cs="Times New Roman"/>
          <w:color w:val="auto"/>
          <w:sz w:val="24"/>
          <w:szCs w:val="24"/>
        </w:rPr>
        <w:t>声级计在测试前后用标准发生源进行校准，测量前后仪器的灵敏度相差不大于0.5dB，若大于0.5dB测试数据无效。</w:t>
      </w:r>
    </w:p>
    <w:p>
      <w:pPr>
        <w:pStyle w:val="5"/>
        <w:rPr>
          <w:rFonts w:hint="eastAsia"/>
          <w:lang w:val="en-US" w:eastAsia="zh-CN"/>
        </w:rPr>
      </w:pPr>
      <w:r>
        <w:rPr>
          <w:rFonts w:hint="eastAsia"/>
          <w:lang w:val="en-US" w:eastAsia="zh-CN"/>
        </w:rPr>
        <w:t>7.5.4厂界噪声监测结果</w:t>
      </w:r>
    </w:p>
    <w:p>
      <w:pPr>
        <w:ind w:firstLine="480" w:firstLineChars="200"/>
        <w:rPr>
          <w:rFonts w:hint="eastAsia"/>
          <w:lang w:val="en-US" w:eastAsia="zh-CN"/>
        </w:rPr>
      </w:pPr>
      <w:r>
        <w:rPr>
          <w:rFonts w:hint="eastAsia"/>
          <w:lang w:eastAsia="zh-CN"/>
        </w:rPr>
        <w:t>厂界噪声监测结果详见表</w:t>
      </w:r>
      <w:r>
        <w:rPr>
          <w:rFonts w:hint="eastAsia"/>
          <w:lang w:val="en-US" w:eastAsia="zh-CN"/>
        </w:rPr>
        <w:t>7.5-2。</w:t>
      </w:r>
    </w:p>
    <w:p>
      <w:pPr>
        <w:jc w:val="center"/>
        <w:rPr>
          <w:rFonts w:hint="default" w:ascii="Times New Roman" w:hAnsi="Times New Roman" w:cs="Times New Roman"/>
          <w:b/>
          <w:sz w:val="21"/>
          <w:szCs w:val="21"/>
        </w:rPr>
      </w:pPr>
    </w:p>
    <w:p>
      <w:pPr>
        <w:jc w:val="center"/>
        <w:rPr>
          <w:rFonts w:hint="default" w:ascii="Times New Roman" w:hAnsi="Times New Roman" w:cs="Times New Roman"/>
          <w:b/>
          <w:sz w:val="21"/>
          <w:szCs w:val="21"/>
        </w:rPr>
      </w:pPr>
    </w:p>
    <w:p>
      <w:pPr>
        <w:jc w:val="center"/>
        <w:rPr>
          <w:rFonts w:hint="default" w:ascii="Times New Roman" w:hAnsi="Times New Roman" w:cs="Times New Roman"/>
          <w:b/>
          <w:sz w:val="21"/>
          <w:szCs w:val="21"/>
        </w:rPr>
      </w:pPr>
    </w:p>
    <w:p>
      <w:pPr>
        <w:jc w:val="center"/>
        <w:rPr>
          <w:rFonts w:hint="default" w:ascii="Times New Roman" w:hAnsi="Times New Roman" w:cs="Times New Roman"/>
          <w:b/>
          <w:sz w:val="21"/>
          <w:szCs w:val="21"/>
        </w:rPr>
      </w:pPr>
    </w:p>
    <w:p>
      <w:pPr>
        <w:jc w:val="center"/>
        <w:rPr>
          <w:rFonts w:hint="default" w:ascii="Times New Roman" w:hAnsi="Times New Roman" w:cs="Times New Roman"/>
          <w:b/>
          <w:sz w:val="21"/>
          <w:szCs w:val="21"/>
        </w:rPr>
      </w:pPr>
    </w:p>
    <w:p>
      <w:pPr>
        <w:jc w:val="center"/>
        <w:rPr>
          <w:rFonts w:hint="default" w:ascii="Times New Roman" w:hAnsi="Times New Roman" w:cs="Times New Roman"/>
          <w:b/>
          <w:sz w:val="21"/>
          <w:szCs w:val="21"/>
        </w:rPr>
      </w:pPr>
    </w:p>
    <w:p>
      <w:pPr>
        <w:jc w:val="center"/>
        <w:rPr>
          <w:rFonts w:hint="default" w:ascii="Times New Roman" w:hAnsi="Times New Roman" w:cs="Times New Roman"/>
          <w:sz w:val="21"/>
          <w:szCs w:val="21"/>
        </w:rPr>
      </w:pPr>
      <w:r>
        <w:rPr>
          <w:rFonts w:hint="default" w:ascii="Times New Roman" w:hAnsi="Times New Roman" w:cs="Times New Roman"/>
          <w:b/>
          <w:sz w:val="21"/>
          <w:szCs w:val="21"/>
        </w:rPr>
        <w:t>表</w:t>
      </w:r>
      <w:r>
        <w:rPr>
          <w:rFonts w:hint="eastAsia" w:cs="Times New Roman"/>
          <w:b/>
          <w:sz w:val="21"/>
          <w:szCs w:val="21"/>
          <w:lang w:val="en-US" w:eastAsia="zh-CN"/>
        </w:rPr>
        <w:t>7.5-2</w:t>
      </w:r>
      <w:r>
        <w:rPr>
          <w:rFonts w:hint="default" w:ascii="Times New Roman" w:hAnsi="Times New Roman" w:cs="Times New Roman"/>
          <w:b/>
          <w:sz w:val="21"/>
          <w:szCs w:val="21"/>
        </w:rPr>
        <w:t xml:space="preserve"> 噪声监测结果统计表</w:t>
      </w:r>
    </w:p>
    <w:tbl>
      <w:tblPr>
        <w:tblStyle w:val="16"/>
        <w:tblW w:w="8549" w:type="dxa"/>
        <w:jc w:val="center"/>
        <w:tblInd w:w="346"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6"/>
        <w:gridCol w:w="1682"/>
        <w:gridCol w:w="1410"/>
        <w:gridCol w:w="1409"/>
        <w:gridCol w:w="1409"/>
        <w:gridCol w:w="141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49" w:type="dxa"/>
            <w:gridSpan w:val="6"/>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监测类别：噪声（单位</w:t>
            </w:r>
            <w:r>
              <w:rPr>
                <w:rFonts w:hint="default" w:ascii="Times New Roman" w:hAnsi="Times New Roman" w:cs="Times New Roman"/>
                <w:sz w:val="21"/>
                <w:szCs w:val="21"/>
                <w:lang w:eastAsia="zh-CN"/>
              </w:rPr>
              <w:t>：</w:t>
            </w:r>
            <w:r>
              <w:rPr>
                <w:rFonts w:hint="default" w:ascii="Times New Roman" w:hAnsi="Times New Roman" w:cs="Times New Roman"/>
                <w:sz w:val="21"/>
                <w:szCs w:val="21"/>
              </w:rPr>
              <w:t>dB（A））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6"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测点编号</w:t>
            </w:r>
          </w:p>
        </w:tc>
        <w:tc>
          <w:tcPr>
            <w:tcW w:w="1682"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eastAsia="zh-CN"/>
              </w:rPr>
            </w:pPr>
            <w:r>
              <w:rPr>
                <w:rFonts w:hint="default" w:ascii="Times New Roman" w:hAnsi="Times New Roman" w:cs="Times New Roman"/>
                <w:b/>
                <w:bCs/>
                <w:sz w:val="21"/>
                <w:szCs w:val="21"/>
                <w:lang w:val="en-US" w:eastAsia="zh-CN"/>
              </w:rPr>
              <w:t>测点名称</w:t>
            </w:r>
          </w:p>
        </w:tc>
        <w:tc>
          <w:tcPr>
            <w:tcW w:w="2819" w:type="dxa"/>
            <w:gridSpan w:val="2"/>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2017.10.8</w:t>
            </w:r>
          </w:p>
        </w:tc>
        <w:tc>
          <w:tcPr>
            <w:tcW w:w="2822" w:type="dxa"/>
            <w:gridSpan w:val="2"/>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2017.10.9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6"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p>
        </w:tc>
        <w:tc>
          <w:tcPr>
            <w:tcW w:w="1682"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z w:val="21"/>
                <w:szCs w:val="21"/>
              </w:rPr>
            </w:pPr>
          </w:p>
        </w:tc>
        <w:tc>
          <w:tcPr>
            <w:tcW w:w="1410"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昼间</w:t>
            </w:r>
          </w:p>
        </w:tc>
        <w:tc>
          <w:tcPr>
            <w:tcW w:w="140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夜间</w:t>
            </w:r>
          </w:p>
        </w:tc>
        <w:tc>
          <w:tcPr>
            <w:tcW w:w="1409"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昼间</w:t>
            </w:r>
          </w:p>
        </w:tc>
        <w:tc>
          <w:tcPr>
            <w:tcW w:w="1413" w:type="dxa"/>
            <w:tcBorders>
              <w:tl2br w:val="nil"/>
              <w:tr2bl w:val="nil"/>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夜间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6" w:type="dxa"/>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N1</w:t>
            </w:r>
          </w:p>
        </w:tc>
        <w:tc>
          <w:tcPr>
            <w:tcW w:w="1682" w:type="dxa"/>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厂界东侧</w:t>
            </w:r>
          </w:p>
        </w:tc>
        <w:tc>
          <w:tcPr>
            <w:tcW w:w="1410"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54.7</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44.6</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54.5</w:t>
            </w:r>
          </w:p>
        </w:tc>
        <w:tc>
          <w:tcPr>
            <w:tcW w:w="1413"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44.8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6" w:type="dxa"/>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N2</w:t>
            </w:r>
          </w:p>
        </w:tc>
        <w:tc>
          <w:tcPr>
            <w:tcW w:w="1682" w:type="dxa"/>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厂界南侧点1</w:t>
            </w:r>
          </w:p>
        </w:tc>
        <w:tc>
          <w:tcPr>
            <w:tcW w:w="1410"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54.8</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45.0</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54.7</w:t>
            </w:r>
          </w:p>
        </w:tc>
        <w:tc>
          <w:tcPr>
            <w:tcW w:w="1413"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44.6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6" w:type="dxa"/>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N3</w:t>
            </w:r>
          </w:p>
        </w:tc>
        <w:tc>
          <w:tcPr>
            <w:tcW w:w="1682" w:type="dxa"/>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厂界南侧点2</w:t>
            </w:r>
          </w:p>
        </w:tc>
        <w:tc>
          <w:tcPr>
            <w:tcW w:w="1410"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52.6</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39.7</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52.9</w:t>
            </w:r>
          </w:p>
        </w:tc>
        <w:tc>
          <w:tcPr>
            <w:tcW w:w="1413"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6" w:type="dxa"/>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N4</w:t>
            </w:r>
          </w:p>
        </w:tc>
        <w:tc>
          <w:tcPr>
            <w:tcW w:w="1682" w:type="dxa"/>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厂界西侧</w:t>
            </w:r>
          </w:p>
        </w:tc>
        <w:tc>
          <w:tcPr>
            <w:tcW w:w="1410"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48.4</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36.8</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48.7</w:t>
            </w:r>
          </w:p>
        </w:tc>
        <w:tc>
          <w:tcPr>
            <w:tcW w:w="1413"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36.9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6" w:type="dxa"/>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N5</w:t>
            </w:r>
          </w:p>
        </w:tc>
        <w:tc>
          <w:tcPr>
            <w:tcW w:w="1682" w:type="dxa"/>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厂界北侧点1</w:t>
            </w:r>
          </w:p>
        </w:tc>
        <w:tc>
          <w:tcPr>
            <w:tcW w:w="1410"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49.7</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38.8</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48.9</w:t>
            </w:r>
          </w:p>
        </w:tc>
        <w:tc>
          <w:tcPr>
            <w:tcW w:w="1413"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38.5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6" w:type="dxa"/>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N6</w:t>
            </w:r>
          </w:p>
        </w:tc>
        <w:tc>
          <w:tcPr>
            <w:tcW w:w="1682" w:type="dxa"/>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厂界北侧点2</w:t>
            </w:r>
          </w:p>
        </w:tc>
        <w:tc>
          <w:tcPr>
            <w:tcW w:w="1410"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53.3</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43.6</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53.6</w:t>
            </w:r>
          </w:p>
        </w:tc>
        <w:tc>
          <w:tcPr>
            <w:tcW w:w="1413"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43.2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908" w:type="dxa"/>
            <w:gridSpan w:val="2"/>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bCs/>
                <w:sz w:val="21"/>
                <w:szCs w:val="21"/>
                <w:lang w:val="en-US" w:eastAsia="zh-CN"/>
              </w:rPr>
            </w:pPr>
            <w:r>
              <w:rPr>
                <w:rFonts w:hint="eastAsia" w:ascii="Times New Roman" w:hAnsi="Times New Roman" w:cs="Times New Roman"/>
                <w:b/>
                <w:bCs/>
                <w:sz w:val="21"/>
                <w:szCs w:val="21"/>
                <w:lang w:val="en-US" w:eastAsia="zh-CN"/>
              </w:rPr>
              <w:t>标准值</w:t>
            </w:r>
          </w:p>
        </w:tc>
        <w:tc>
          <w:tcPr>
            <w:tcW w:w="1410"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55</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45</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55</w:t>
            </w:r>
          </w:p>
        </w:tc>
        <w:tc>
          <w:tcPr>
            <w:tcW w:w="1413"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45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908" w:type="dxa"/>
            <w:gridSpan w:val="2"/>
            <w:tcBorders>
              <w:tl2br w:val="nil"/>
              <w:tr2bl w:val="nil"/>
            </w:tcBorders>
            <w:vAlign w:val="center"/>
          </w:tcPr>
          <w:p>
            <w:pPr>
              <w:pStyle w:val="8"/>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bCs/>
                <w:sz w:val="21"/>
                <w:szCs w:val="21"/>
                <w:lang w:val="en-US" w:eastAsia="zh-CN"/>
              </w:rPr>
            </w:pPr>
            <w:r>
              <w:rPr>
                <w:rFonts w:hint="eastAsia" w:ascii="Times New Roman" w:hAnsi="Times New Roman" w:cs="Times New Roman"/>
                <w:b/>
                <w:bCs/>
                <w:sz w:val="21"/>
                <w:szCs w:val="21"/>
                <w:lang w:val="en-US" w:eastAsia="zh-CN"/>
              </w:rPr>
              <w:t>达标情况</w:t>
            </w:r>
          </w:p>
        </w:tc>
        <w:tc>
          <w:tcPr>
            <w:tcW w:w="1410"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c>
          <w:tcPr>
            <w:tcW w:w="1409"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c>
          <w:tcPr>
            <w:tcW w:w="1413" w:type="dxa"/>
            <w:tcBorders>
              <w:tl2br w:val="nil"/>
              <w:tr2bl w:val="nil"/>
            </w:tcBorders>
            <w:vAlign w:val="center"/>
          </w:tcPr>
          <w:p>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cs="Times New Roman"/>
                <w:b/>
                <w:bCs/>
                <w:sz w:val="21"/>
                <w:szCs w:val="21"/>
                <w:lang w:val="en-US" w:eastAsia="zh-CN"/>
              </w:rPr>
              <w:t>达标</w:t>
            </w:r>
          </w:p>
        </w:tc>
      </w:tr>
    </w:tbl>
    <w:p>
      <w:pPr>
        <w:pStyle w:val="5"/>
        <w:rPr>
          <w:rFonts w:hint="eastAsia"/>
          <w:lang w:val="en-US" w:eastAsia="zh-CN"/>
        </w:rPr>
      </w:pPr>
      <w:r>
        <w:rPr>
          <w:rFonts w:hint="eastAsia"/>
          <w:lang w:val="en-US" w:eastAsia="zh-CN"/>
        </w:rPr>
        <w:t>7.5.5敏感点环境噪声监测内容</w:t>
      </w:r>
    </w:p>
    <w:p>
      <w:pPr>
        <w:ind w:firstLine="480" w:firstLineChars="200"/>
        <w:rPr>
          <w:rFonts w:hint="eastAsia"/>
          <w:b/>
          <w:bCs/>
          <w:sz w:val="21"/>
          <w:szCs w:val="21"/>
          <w:lang w:val="en-US" w:eastAsia="zh-CN"/>
        </w:rPr>
      </w:pPr>
      <w:r>
        <w:rPr>
          <w:rFonts w:hint="eastAsia"/>
          <w:lang w:val="en-US" w:eastAsia="zh-CN"/>
        </w:rPr>
        <w:t>由图7.3-2可知，受项目噪声污染最大的敏感点同样是项目西北方向的居民，因此对</w:t>
      </w:r>
      <w:r>
        <w:rPr>
          <w:rFonts w:hint="default" w:ascii="Times New Roman" w:hAnsi="Times New Roman" w:cs="Times New Roman"/>
          <w:b w:val="0"/>
          <w:bCs w:val="0"/>
          <w:sz w:val="24"/>
          <w:szCs w:val="24"/>
          <w:lang w:val="en-US" w:eastAsia="zh-CN"/>
        </w:rPr>
        <w:t>该居民点进行</w:t>
      </w:r>
      <w:r>
        <w:rPr>
          <w:rFonts w:hint="eastAsia" w:ascii="Times New Roman" w:hAnsi="Times New Roman" w:cs="Times New Roman"/>
          <w:b w:val="0"/>
          <w:bCs w:val="0"/>
          <w:sz w:val="24"/>
          <w:szCs w:val="24"/>
          <w:lang w:val="en-US" w:eastAsia="zh-CN"/>
        </w:rPr>
        <w:t>了</w:t>
      </w:r>
      <w:r>
        <w:rPr>
          <w:rFonts w:hint="eastAsia" w:cs="Times New Roman"/>
          <w:b w:val="0"/>
          <w:bCs w:val="0"/>
          <w:sz w:val="24"/>
          <w:szCs w:val="24"/>
          <w:lang w:val="en-US" w:eastAsia="zh-CN"/>
        </w:rPr>
        <w:t>噪声</w:t>
      </w:r>
      <w:r>
        <w:rPr>
          <w:rFonts w:hint="default" w:ascii="Times New Roman" w:hAnsi="Times New Roman" w:cs="Times New Roman"/>
          <w:b w:val="0"/>
          <w:bCs w:val="0"/>
          <w:sz w:val="24"/>
          <w:szCs w:val="24"/>
          <w:lang w:val="en-US" w:eastAsia="zh-CN"/>
        </w:rPr>
        <w:t>质量监测。</w:t>
      </w:r>
      <w:r>
        <w:rPr>
          <w:rFonts w:hint="eastAsia" w:ascii="Times New Roman" w:hAnsi="Times New Roman" w:cs="Times New Roman"/>
          <w:b w:val="0"/>
          <w:bCs w:val="0"/>
          <w:sz w:val="24"/>
          <w:szCs w:val="24"/>
          <w:lang w:val="en-US" w:eastAsia="zh-CN"/>
        </w:rPr>
        <w:t>具体监测</w:t>
      </w:r>
      <w:r>
        <w:rPr>
          <w:rFonts w:hint="eastAsia" w:ascii="宋体" w:hAnsi="宋体"/>
          <w:sz w:val="24"/>
          <w:szCs w:val="24"/>
          <w:lang w:eastAsia="zh-CN"/>
        </w:rPr>
        <w:t>内容如下：</w:t>
      </w:r>
    </w:p>
    <w:p>
      <w:pPr>
        <w:jc w:val="center"/>
        <w:rPr>
          <w:rFonts w:hint="eastAsia"/>
          <w:lang w:val="en-US" w:eastAsia="zh-CN"/>
        </w:rPr>
      </w:pPr>
      <w:r>
        <w:rPr>
          <w:rFonts w:hint="eastAsia"/>
          <w:b/>
          <w:bCs/>
          <w:sz w:val="21"/>
          <w:szCs w:val="21"/>
          <w:lang w:val="en-US" w:eastAsia="zh-CN"/>
        </w:rPr>
        <w:t>表7.5-3 敏感点噪声监测内容</w:t>
      </w:r>
    </w:p>
    <w:tbl>
      <w:tblPr>
        <w:tblStyle w:val="17"/>
        <w:tblW w:w="854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5"/>
        <w:gridCol w:w="6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35" w:type="dxa"/>
            <w:tcBorders>
              <w:top w:val="double" w:color="auto" w:sz="4" w:space="0"/>
              <w:left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监测点位</w:t>
            </w:r>
          </w:p>
        </w:tc>
        <w:tc>
          <w:tcPr>
            <w:tcW w:w="6514" w:type="dxa"/>
            <w:tcBorders>
              <w:top w:val="double" w:color="auto" w:sz="4" w:space="0"/>
              <w:right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张家N7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35" w:type="dxa"/>
            <w:tcBorders>
              <w:left w:val="nil"/>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监测因子</w:t>
            </w:r>
          </w:p>
        </w:tc>
        <w:tc>
          <w:tcPr>
            <w:tcW w:w="6514" w:type="dxa"/>
            <w:tcBorders>
              <w:right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35" w:type="dxa"/>
            <w:tcBorders>
              <w:left w:val="nil"/>
              <w:bottom w:val="double" w:color="auto" w:sz="4" w:space="0"/>
            </w:tcBorders>
            <w:vAlign w:val="center"/>
          </w:tcPr>
          <w:p>
            <w:pPr>
              <w:keepNext w:val="0"/>
              <w:keepLines w:val="0"/>
              <w:suppressLineNumbers w:val="0"/>
              <w:spacing w:before="0" w:beforeAutospacing="0" w:after="0" w:afterAutospacing="0" w:line="240" w:lineRule="auto"/>
              <w:ind w:left="0" w:right="0"/>
              <w:jc w:val="center"/>
              <w:rPr>
                <w:rFonts w:hint="eastAsia"/>
                <w:b/>
                <w:bCs/>
                <w:sz w:val="21"/>
                <w:szCs w:val="21"/>
                <w:vertAlign w:val="baseline"/>
                <w:lang w:val="en-US" w:eastAsia="zh-CN"/>
              </w:rPr>
            </w:pPr>
            <w:r>
              <w:rPr>
                <w:rFonts w:hint="eastAsia"/>
                <w:b/>
                <w:bCs/>
                <w:sz w:val="21"/>
                <w:szCs w:val="21"/>
                <w:vertAlign w:val="baseline"/>
                <w:lang w:val="en-US" w:eastAsia="zh-CN"/>
              </w:rPr>
              <w:t>监测频次及周期</w:t>
            </w:r>
          </w:p>
        </w:tc>
        <w:tc>
          <w:tcPr>
            <w:tcW w:w="6514" w:type="dxa"/>
            <w:tcBorders>
              <w:bottom w:val="double" w:color="auto" w:sz="4" w:space="0"/>
              <w:right w:val="nil"/>
            </w:tcBorders>
            <w:vAlign w:val="center"/>
          </w:tcPr>
          <w:p>
            <w:pPr>
              <w:keepNext w:val="0"/>
              <w:keepLines w:val="0"/>
              <w:suppressLineNumbers w:val="0"/>
              <w:spacing w:before="0" w:beforeAutospacing="0" w:after="0" w:afterAutospacing="0" w:line="240" w:lineRule="auto"/>
              <w:ind w:left="0" w:right="0"/>
              <w:jc w:val="center"/>
              <w:rPr>
                <w:rFonts w:hint="eastAsia"/>
                <w:sz w:val="21"/>
                <w:szCs w:val="21"/>
                <w:vertAlign w:val="baseline"/>
                <w:lang w:val="en-US" w:eastAsia="zh-CN"/>
              </w:rPr>
            </w:pPr>
            <w:r>
              <w:rPr>
                <w:rFonts w:hint="eastAsia"/>
                <w:sz w:val="21"/>
                <w:szCs w:val="21"/>
                <w:vertAlign w:val="baseline"/>
                <w:lang w:val="en-US" w:eastAsia="zh-CN"/>
              </w:rPr>
              <w:t>昼夜各一次，监测两天</w:t>
            </w:r>
          </w:p>
        </w:tc>
      </w:tr>
    </w:tbl>
    <w:p>
      <w:pPr>
        <w:pStyle w:val="5"/>
        <w:rPr>
          <w:rFonts w:hint="eastAsia"/>
          <w:lang w:val="en-US" w:eastAsia="zh-CN"/>
        </w:rPr>
      </w:pPr>
      <w:r>
        <w:rPr>
          <w:rFonts w:hint="eastAsia"/>
          <w:lang w:val="en-US" w:eastAsia="zh-CN"/>
        </w:rPr>
        <w:t>7.5.6环境噪声监测结果</w:t>
      </w:r>
    </w:p>
    <w:p>
      <w:pPr>
        <w:ind w:firstLine="480" w:firstLineChars="200"/>
        <w:rPr>
          <w:rFonts w:hint="eastAsia"/>
          <w:color w:val="auto"/>
          <w:lang w:val="en-US" w:eastAsia="zh-CN"/>
        </w:rPr>
      </w:pPr>
      <w:r>
        <w:rPr>
          <w:rFonts w:hint="eastAsia"/>
          <w:color w:val="auto"/>
          <w:lang w:eastAsia="zh-CN"/>
        </w:rPr>
        <w:t>环境噪声监测结果详见表</w:t>
      </w:r>
      <w:r>
        <w:rPr>
          <w:rFonts w:hint="eastAsia"/>
          <w:color w:val="auto"/>
          <w:lang w:val="en-US" w:eastAsia="zh-CN"/>
        </w:rPr>
        <w:t>7.5-4。</w:t>
      </w:r>
    </w:p>
    <w:p>
      <w:pPr>
        <w:pStyle w:val="18"/>
        <w:spacing w:line="36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eastAsia="zh-CN"/>
        </w:rPr>
        <w:t>表</w:t>
      </w:r>
      <w:r>
        <w:rPr>
          <w:rFonts w:hint="eastAsia" w:ascii="Times New Roman" w:hAnsi="Times New Roman" w:cs="Times New Roman"/>
          <w:b/>
          <w:bCs/>
          <w:color w:val="auto"/>
          <w:sz w:val="21"/>
          <w:szCs w:val="21"/>
          <w:lang w:val="en-US" w:eastAsia="zh-CN"/>
        </w:rPr>
        <w:t>7.5-4</w:t>
      </w:r>
      <w:r>
        <w:rPr>
          <w:rFonts w:hint="default" w:ascii="Times New Roman" w:hAnsi="Times New Roman" w:cs="Times New Roman"/>
          <w:b/>
          <w:bCs/>
          <w:color w:val="auto"/>
          <w:sz w:val="21"/>
          <w:szCs w:val="21"/>
          <w:lang w:val="en-US" w:eastAsia="zh-CN"/>
        </w:rPr>
        <w:t xml:space="preserve"> 环境噪声监测结果统计表</w:t>
      </w:r>
    </w:p>
    <w:tbl>
      <w:tblPr>
        <w:tblStyle w:val="16"/>
        <w:tblW w:w="8549" w:type="dxa"/>
        <w:jc w:val="center"/>
        <w:tblInd w:w="1052"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9"/>
        <w:gridCol w:w="1486"/>
        <w:gridCol w:w="1338"/>
        <w:gridCol w:w="1338"/>
        <w:gridCol w:w="1337"/>
        <w:gridCol w:w="134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49" w:type="dxa"/>
            <w:gridSpan w:val="6"/>
            <w:tcBorders>
              <w:tl2br w:val="nil"/>
              <w:tr2bl w:val="nil"/>
            </w:tcBorders>
            <w:vAlign w:val="center"/>
          </w:tcPr>
          <w:p>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监测类别：</w:t>
            </w:r>
            <w:r>
              <w:rPr>
                <w:rFonts w:hint="default" w:ascii="Times New Roman" w:hAnsi="Times New Roman" w:eastAsia="宋体" w:cs="Times New Roman"/>
                <w:color w:val="auto"/>
                <w:sz w:val="21"/>
                <w:szCs w:val="21"/>
                <w:lang w:val="en-US" w:eastAsia="zh-CN"/>
              </w:rPr>
              <w:t xml:space="preserve">声环境 </w:t>
            </w:r>
            <w:r>
              <w:rPr>
                <w:rFonts w:hint="default" w:ascii="Times New Roman" w:hAnsi="Times New Roman" w:eastAsia="宋体" w:cs="Times New Roman"/>
                <w:color w:val="auto"/>
                <w:sz w:val="21"/>
                <w:szCs w:val="21"/>
              </w:rPr>
              <w:t>（单位</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dB（A））</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709" w:type="dxa"/>
            <w:vMerge w:val="restart"/>
            <w:tcBorders>
              <w:tl2br w:val="nil"/>
              <w:tr2bl w:val="nil"/>
            </w:tcBorders>
            <w:vAlign w:val="center"/>
          </w:tcPr>
          <w:p>
            <w:pPr>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测点编号</w:t>
            </w:r>
          </w:p>
        </w:tc>
        <w:tc>
          <w:tcPr>
            <w:tcW w:w="1486" w:type="dxa"/>
            <w:vMerge w:val="restart"/>
            <w:tcBorders>
              <w:tl2br w:val="nil"/>
              <w:tr2bl w:val="nil"/>
            </w:tcBorders>
            <w:vAlign w:val="center"/>
          </w:tcPr>
          <w:p>
            <w:pPr>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val="en-US" w:eastAsia="zh-CN"/>
              </w:rPr>
              <w:t>测点名称</w:t>
            </w:r>
          </w:p>
        </w:tc>
        <w:tc>
          <w:tcPr>
            <w:tcW w:w="2676" w:type="dxa"/>
            <w:gridSpan w:val="2"/>
            <w:tcBorders>
              <w:tl2br w:val="nil"/>
              <w:tr2bl w:val="nil"/>
            </w:tcBorders>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2017.10.8</w:t>
            </w:r>
          </w:p>
        </w:tc>
        <w:tc>
          <w:tcPr>
            <w:tcW w:w="2678" w:type="dxa"/>
            <w:gridSpan w:val="2"/>
            <w:tcBorders>
              <w:tl2br w:val="nil"/>
              <w:tr2bl w:val="nil"/>
            </w:tcBorders>
            <w:vAlign w:val="center"/>
          </w:tcPr>
          <w:p>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2017.10.9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709" w:type="dxa"/>
            <w:vMerge w:val="continue"/>
            <w:tcBorders>
              <w:tl2br w:val="nil"/>
              <w:tr2bl w:val="nil"/>
            </w:tcBorders>
            <w:vAlign w:val="center"/>
          </w:tcPr>
          <w:p>
            <w:pPr>
              <w:spacing w:line="240" w:lineRule="auto"/>
              <w:jc w:val="center"/>
              <w:rPr>
                <w:rFonts w:hint="default" w:ascii="Times New Roman" w:hAnsi="Times New Roman" w:eastAsia="宋体" w:cs="Times New Roman"/>
                <w:color w:val="auto"/>
                <w:sz w:val="21"/>
                <w:szCs w:val="21"/>
              </w:rPr>
            </w:pPr>
          </w:p>
        </w:tc>
        <w:tc>
          <w:tcPr>
            <w:tcW w:w="1486" w:type="dxa"/>
            <w:vMerge w:val="continue"/>
            <w:tcBorders>
              <w:tl2br w:val="nil"/>
              <w:tr2bl w:val="nil"/>
            </w:tcBorders>
            <w:vAlign w:val="center"/>
          </w:tcPr>
          <w:p>
            <w:pPr>
              <w:spacing w:line="240" w:lineRule="auto"/>
              <w:jc w:val="center"/>
              <w:rPr>
                <w:rFonts w:hint="default" w:ascii="Times New Roman" w:hAnsi="Times New Roman" w:eastAsia="宋体" w:cs="Times New Roman"/>
                <w:color w:val="auto"/>
                <w:sz w:val="21"/>
                <w:szCs w:val="21"/>
              </w:rPr>
            </w:pPr>
          </w:p>
        </w:tc>
        <w:tc>
          <w:tcPr>
            <w:tcW w:w="1338" w:type="dxa"/>
            <w:tcBorders>
              <w:tl2br w:val="nil"/>
              <w:tr2bl w:val="nil"/>
            </w:tcBorders>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昼间</w:t>
            </w:r>
          </w:p>
        </w:tc>
        <w:tc>
          <w:tcPr>
            <w:tcW w:w="1338" w:type="dxa"/>
            <w:tcBorders>
              <w:tl2br w:val="nil"/>
              <w:tr2bl w:val="nil"/>
            </w:tcBorders>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夜间</w:t>
            </w:r>
          </w:p>
        </w:tc>
        <w:tc>
          <w:tcPr>
            <w:tcW w:w="1337" w:type="dxa"/>
            <w:tcBorders>
              <w:tl2br w:val="nil"/>
              <w:tr2bl w:val="nil"/>
            </w:tcBorders>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昼间</w:t>
            </w:r>
          </w:p>
        </w:tc>
        <w:tc>
          <w:tcPr>
            <w:tcW w:w="1341" w:type="dxa"/>
            <w:tcBorders>
              <w:tl2br w:val="nil"/>
              <w:tr2bl w:val="nil"/>
            </w:tcBorders>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夜间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709" w:type="dxa"/>
            <w:tcBorders>
              <w:tl2br w:val="nil"/>
              <w:tr2bl w:val="nil"/>
            </w:tcBorders>
            <w:vAlign w:val="center"/>
          </w:tcPr>
          <w:p>
            <w:pPr>
              <w:pStyle w:val="8"/>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N7</w:t>
            </w:r>
          </w:p>
        </w:tc>
        <w:tc>
          <w:tcPr>
            <w:tcW w:w="1486" w:type="dxa"/>
            <w:tcBorders>
              <w:tl2br w:val="nil"/>
              <w:tr2bl w:val="nil"/>
            </w:tcBorders>
            <w:vAlign w:val="center"/>
          </w:tcPr>
          <w:p>
            <w:pPr>
              <w:pStyle w:val="8"/>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张家</w:t>
            </w:r>
          </w:p>
        </w:tc>
        <w:tc>
          <w:tcPr>
            <w:tcW w:w="1338"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46.3</w:t>
            </w:r>
          </w:p>
        </w:tc>
        <w:tc>
          <w:tcPr>
            <w:tcW w:w="1338"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36.1</w:t>
            </w:r>
          </w:p>
        </w:tc>
        <w:tc>
          <w:tcPr>
            <w:tcW w:w="1337"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46.9</w:t>
            </w:r>
          </w:p>
        </w:tc>
        <w:tc>
          <w:tcPr>
            <w:tcW w:w="1341"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36.7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195" w:type="dxa"/>
            <w:gridSpan w:val="2"/>
            <w:tcBorders>
              <w:tl2br w:val="nil"/>
              <w:tr2bl w:val="nil"/>
            </w:tcBorders>
            <w:vAlign w:val="center"/>
          </w:tcPr>
          <w:p>
            <w:pPr>
              <w:pStyle w:val="8"/>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标准值</w:t>
            </w:r>
          </w:p>
        </w:tc>
        <w:tc>
          <w:tcPr>
            <w:tcW w:w="1338"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55</w:t>
            </w:r>
          </w:p>
        </w:tc>
        <w:tc>
          <w:tcPr>
            <w:tcW w:w="1338"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45</w:t>
            </w:r>
          </w:p>
        </w:tc>
        <w:tc>
          <w:tcPr>
            <w:tcW w:w="1337"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55</w:t>
            </w:r>
          </w:p>
        </w:tc>
        <w:tc>
          <w:tcPr>
            <w:tcW w:w="1341"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45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195" w:type="dxa"/>
            <w:gridSpan w:val="2"/>
            <w:tcBorders>
              <w:tl2br w:val="nil"/>
              <w:tr2bl w:val="nil"/>
            </w:tcBorders>
            <w:vAlign w:val="center"/>
          </w:tcPr>
          <w:p>
            <w:pPr>
              <w:pStyle w:val="8"/>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达标情况</w:t>
            </w:r>
          </w:p>
        </w:tc>
        <w:tc>
          <w:tcPr>
            <w:tcW w:w="1338"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达标</w:t>
            </w:r>
          </w:p>
        </w:tc>
        <w:tc>
          <w:tcPr>
            <w:tcW w:w="1338"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达标</w:t>
            </w:r>
          </w:p>
        </w:tc>
        <w:tc>
          <w:tcPr>
            <w:tcW w:w="1337"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达标</w:t>
            </w:r>
          </w:p>
        </w:tc>
        <w:tc>
          <w:tcPr>
            <w:tcW w:w="1341"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达标</w:t>
            </w:r>
          </w:p>
        </w:tc>
      </w:tr>
    </w:tbl>
    <w:p>
      <w:pPr>
        <w:pStyle w:val="5"/>
        <w:rPr>
          <w:rFonts w:hint="eastAsia"/>
          <w:color w:val="auto"/>
          <w:lang w:val="en-US" w:eastAsia="zh-CN"/>
        </w:rPr>
      </w:pPr>
      <w:r>
        <w:rPr>
          <w:rFonts w:hint="eastAsia"/>
          <w:color w:val="auto"/>
          <w:lang w:val="en-US" w:eastAsia="zh-CN"/>
        </w:rPr>
        <w:t>7.5.7有效性分析</w:t>
      </w:r>
    </w:p>
    <w:p>
      <w:pPr>
        <w:ind w:firstLine="480" w:firstLineChars="200"/>
        <w:rPr>
          <w:rFonts w:hint="eastAsia" w:eastAsia="宋体"/>
          <w:color w:val="auto"/>
          <w:lang w:val="en-US" w:eastAsia="zh-CN"/>
        </w:rPr>
      </w:pPr>
      <w:r>
        <w:rPr>
          <w:rFonts w:hint="eastAsia"/>
          <w:color w:val="auto"/>
          <w:lang w:eastAsia="zh-CN"/>
        </w:rPr>
        <w:t>由结果数据可知，</w:t>
      </w:r>
      <w:r>
        <w:rPr>
          <w:rFonts w:hint="eastAsia"/>
          <w:color w:val="auto"/>
          <w:lang w:val="en-US" w:eastAsia="zh-CN"/>
        </w:rPr>
        <w:t>姚街铅锌矿</w:t>
      </w:r>
      <w:r>
        <w:rPr>
          <w:rFonts w:hint="default" w:ascii="Times New Roman" w:hAnsi="Times New Roman" w:cs="Times New Roman"/>
          <w:color w:val="auto"/>
          <w:shd w:val="clear" w:color="auto" w:fill="auto"/>
        </w:rPr>
        <w:t>现状</w:t>
      </w:r>
      <w:r>
        <w:rPr>
          <w:rFonts w:hint="eastAsia" w:cs="Times New Roman"/>
          <w:color w:val="auto"/>
          <w:shd w:val="clear" w:color="auto" w:fill="auto"/>
          <w:lang w:eastAsia="zh-CN"/>
        </w:rPr>
        <w:t>边界</w:t>
      </w:r>
      <w:r>
        <w:rPr>
          <w:rFonts w:hint="default" w:ascii="Times New Roman" w:hAnsi="Times New Roman" w:cs="Times New Roman"/>
          <w:color w:val="auto"/>
          <w:shd w:val="clear" w:color="auto" w:fill="auto"/>
        </w:rPr>
        <w:t>昼、</w:t>
      </w:r>
      <w:r>
        <w:rPr>
          <w:rFonts w:hint="eastAsia" w:cs="Times New Roman"/>
          <w:color w:val="auto"/>
          <w:shd w:val="clear" w:color="auto" w:fill="auto"/>
          <w:lang w:val="en-US" w:eastAsia="zh-CN"/>
        </w:rPr>
        <w:t>间噪声</w:t>
      </w:r>
      <w:r>
        <w:rPr>
          <w:rFonts w:hint="default" w:ascii="Times New Roman" w:hAnsi="Times New Roman" w:cs="Times New Roman"/>
          <w:color w:val="auto"/>
          <w:shd w:val="clear" w:color="auto" w:fill="auto"/>
        </w:rPr>
        <w:t>均能达到《工业企业厂界噪声排放标准》（GB12348-2008）</w:t>
      </w:r>
      <w:r>
        <w:rPr>
          <w:rFonts w:hint="eastAsia" w:ascii="Times New Roman" w:hAnsi="Times New Roman" w:cs="Times New Roman"/>
          <w:color w:val="auto"/>
          <w:shd w:val="clear" w:color="auto" w:fill="auto"/>
          <w:lang w:val="en-US" w:eastAsia="zh-CN"/>
        </w:rPr>
        <w:t>1</w:t>
      </w:r>
      <w:r>
        <w:rPr>
          <w:rFonts w:hint="default" w:ascii="Times New Roman" w:hAnsi="Times New Roman" w:cs="Times New Roman"/>
          <w:color w:val="auto"/>
          <w:shd w:val="clear" w:color="auto" w:fill="auto"/>
        </w:rPr>
        <w:t>类标准要求</w:t>
      </w:r>
      <w:r>
        <w:rPr>
          <w:rFonts w:hint="eastAsia" w:cs="Times New Roman"/>
          <w:color w:val="auto"/>
          <w:shd w:val="clear" w:color="auto" w:fill="auto"/>
          <w:lang w:eastAsia="zh-CN"/>
        </w:rPr>
        <w:t>，</w:t>
      </w:r>
      <w:r>
        <w:rPr>
          <w:rFonts w:hint="default" w:ascii="Times New Roman" w:hAnsi="Times New Roman" w:eastAsia="宋体" w:cs="Times New Roman"/>
          <w:color w:val="auto"/>
          <w:lang w:val="en-US" w:eastAsia="zh-CN"/>
        </w:rPr>
        <w:t>姚街铅锌矿</w:t>
      </w:r>
      <w:r>
        <w:rPr>
          <w:rFonts w:hint="default" w:ascii="Times New Roman" w:hAnsi="Times New Roman" w:eastAsia="宋体" w:cs="Times New Roman"/>
          <w:color w:val="auto"/>
          <w:shd w:val="clear" w:color="auto" w:fill="auto"/>
          <w:lang w:eastAsia="zh-CN"/>
        </w:rPr>
        <w:t>附近</w:t>
      </w:r>
      <w:r>
        <w:rPr>
          <w:rFonts w:hint="eastAsia" w:ascii="Times New Roman" w:hAnsi="Times New Roman" w:cs="Times New Roman"/>
          <w:color w:val="auto"/>
          <w:shd w:val="clear" w:color="auto" w:fill="auto"/>
          <w:lang w:val="en-US" w:eastAsia="zh-CN"/>
        </w:rPr>
        <w:t>环境噪声</w:t>
      </w:r>
      <w:r>
        <w:rPr>
          <w:rFonts w:hint="eastAsia" w:ascii="Times New Roman" w:hAnsi="Times New Roman" w:eastAsia="宋体" w:cs="Times New Roman"/>
          <w:color w:val="auto"/>
          <w:shd w:val="clear" w:color="auto" w:fill="auto"/>
          <w:lang w:val="en-US" w:eastAsia="zh-CN"/>
        </w:rPr>
        <w:t>质量</w:t>
      </w:r>
      <w:r>
        <w:rPr>
          <w:rFonts w:hint="default" w:ascii="Times New Roman" w:hAnsi="Times New Roman" w:eastAsia="宋体" w:cs="Times New Roman"/>
          <w:color w:val="auto"/>
          <w:shd w:val="clear" w:color="auto" w:fill="auto"/>
        </w:rPr>
        <w:t>均能达到</w:t>
      </w:r>
      <w:r>
        <w:rPr>
          <w:rFonts w:hint="default" w:ascii="Times New Roman" w:hAnsi="Times New Roman" w:cs="Times New Roman"/>
          <w:color w:val="auto"/>
          <w:sz w:val="24"/>
          <w:szCs w:val="24"/>
        </w:rPr>
        <w:t>《声环境质量标准</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（GB3096-2008）</w:t>
      </w:r>
      <w:r>
        <w:rPr>
          <w:rFonts w:hint="default" w:ascii="Times New Roman" w:hAnsi="Times New Roman" w:cs="Times New Roman"/>
          <w:color w:val="auto"/>
          <w:sz w:val="24"/>
          <w:szCs w:val="24"/>
          <w:lang w:eastAsia="zh-CN"/>
        </w:rPr>
        <w:t>中</w:t>
      </w:r>
      <w:r>
        <w:rPr>
          <w:rFonts w:hint="default" w:ascii="Times New Roman" w:hAnsi="Times New Roman" w:cs="Times New Roman"/>
          <w:color w:val="auto"/>
          <w:sz w:val="24"/>
          <w:szCs w:val="24"/>
          <w:lang w:val="en-US" w:eastAsia="zh-CN"/>
        </w:rPr>
        <w:t>1类</w:t>
      </w:r>
      <w:r>
        <w:rPr>
          <w:rFonts w:hint="default" w:ascii="Times New Roman" w:hAnsi="Times New Roman" w:cs="Times New Roman"/>
          <w:color w:val="auto"/>
          <w:sz w:val="24"/>
          <w:szCs w:val="24"/>
        </w:rPr>
        <w:t>标准</w:t>
      </w:r>
      <w:r>
        <w:rPr>
          <w:rFonts w:hint="default" w:ascii="Times New Roman" w:hAnsi="Times New Roman" w:cs="Times New Roman"/>
          <w:color w:val="auto"/>
          <w:sz w:val="24"/>
          <w:szCs w:val="24"/>
          <w:lang w:eastAsia="zh-CN"/>
        </w:rPr>
        <w:t>要求</w:t>
      </w:r>
      <w:r>
        <w:rPr>
          <w:rFonts w:hint="default" w:ascii="Times New Roman" w:hAnsi="Times New Roman" w:eastAsia="宋体" w:cs="Times New Roman"/>
          <w:color w:val="auto"/>
          <w:lang w:val="en-US" w:eastAsia="zh-CN"/>
        </w:rPr>
        <w:t>，证明至现阶段为止，姚街铅锌矿采矿工作并未对附近的</w:t>
      </w:r>
      <w:r>
        <w:rPr>
          <w:rFonts w:hint="eastAsia" w:ascii="Times New Roman" w:hAnsi="Times New Roman" w:eastAsia="宋体" w:cs="Times New Roman"/>
          <w:color w:val="auto"/>
          <w:lang w:val="en-US" w:eastAsia="zh-CN"/>
        </w:rPr>
        <w:t>环境</w:t>
      </w:r>
      <w:r>
        <w:rPr>
          <w:rFonts w:hint="eastAsia" w:ascii="Times New Roman" w:hAnsi="Times New Roman" w:cs="Times New Roman"/>
          <w:color w:val="auto"/>
          <w:lang w:val="en-US" w:eastAsia="zh-CN"/>
        </w:rPr>
        <w:t>噪声</w:t>
      </w:r>
      <w:r>
        <w:rPr>
          <w:rFonts w:hint="eastAsia" w:ascii="Times New Roman" w:hAnsi="Times New Roman" w:eastAsia="宋体" w:cs="Times New Roman"/>
          <w:color w:val="auto"/>
          <w:lang w:val="en-US" w:eastAsia="zh-CN"/>
        </w:rPr>
        <w:t>质量</w:t>
      </w:r>
      <w:r>
        <w:rPr>
          <w:rFonts w:hint="default" w:ascii="Times New Roman" w:hAnsi="Times New Roman" w:eastAsia="宋体" w:cs="Times New Roman"/>
          <w:color w:val="auto"/>
          <w:lang w:val="en-US" w:eastAsia="zh-CN"/>
        </w:rPr>
        <w:t>造成明显影响，在对周边自然环境质量无其他方面影响的情况下，可认为本项目的建设与运行对周边环境质量无明显影响</w:t>
      </w:r>
      <w:r>
        <w:rPr>
          <w:rFonts w:hint="eastAsia" w:cs="Times New Roman"/>
          <w:color w:val="auto"/>
          <w:lang w:val="en-US" w:eastAsia="zh-CN"/>
        </w:rPr>
        <w:t>，项目噪声控制及治理措施是有效可行的。</w:t>
      </w:r>
    </w:p>
    <w:p>
      <w:pPr>
        <w:pStyle w:val="5"/>
        <w:rPr>
          <w:rFonts w:hint="eastAsia"/>
          <w:color w:val="auto"/>
          <w:lang w:val="en-US" w:eastAsia="zh-CN"/>
        </w:rPr>
      </w:pPr>
      <w:r>
        <w:rPr>
          <w:rFonts w:hint="eastAsia"/>
          <w:color w:val="auto"/>
          <w:lang w:val="en-US" w:eastAsia="zh-CN"/>
        </w:rPr>
        <w:t>7.5.8建议</w:t>
      </w:r>
    </w:p>
    <w:p>
      <w:pPr>
        <w:ind w:firstLine="480" w:firstLineChars="200"/>
        <w:rPr>
          <w:rFonts w:hint="eastAsia"/>
          <w:color w:val="auto"/>
          <w:lang w:val="en-US" w:eastAsia="zh-CN"/>
        </w:rPr>
      </w:pPr>
      <w:r>
        <w:rPr>
          <w:rFonts w:hint="eastAsia"/>
          <w:color w:val="auto"/>
          <w:lang w:val="en-US" w:eastAsia="zh-CN"/>
        </w:rPr>
        <w:t>对高噪声设备定期检查，减少摩擦震动，间歇性使用的机械设备尽可能避免在村民休息时使用，也尽量避免在村民休息时进行物料运输，减少噪声污染影响。</w:t>
      </w:r>
    </w:p>
    <w:p>
      <w:pPr>
        <w:pStyle w:val="4"/>
        <w:rPr>
          <w:rFonts w:hint="eastAsia"/>
          <w:lang w:val="en-US" w:eastAsia="zh-CN"/>
        </w:rPr>
      </w:pPr>
      <w:bookmarkStart w:id="287" w:name="_Toc4023"/>
      <w:r>
        <w:rPr>
          <w:rFonts w:hint="eastAsia"/>
          <w:lang w:val="en-US" w:eastAsia="zh-CN"/>
        </w:rPr>
        <w:t>7.6 固废环境影响调查</w:t>
      </w:r>
      <w:bookmarkEnd w:id="287"/>
    </w:p>
    <w:p>
      <w:pPr>
        <w:pStyle w:val="5"/>
        <w:rPr>
          <w:rFonts w:hint="eastAsia"/>
          <w:lang w:val="en-US" w:eastAsia="zh-CN"/>
        </w:rPr>
      </w:pPr>
      <w:r>
        <w:rPr>
          <w:rFonts w:hint="eastAsia"/>
          <w:lang w:val="en-US" w:eastAsia="zh-CN"/>
        </w:rPr>
        <w:t>7.6.1固废污染源及治理</w:t>
      </w:r>
    </w:p>
    <w:p>
      <w:pPr>
        <w:pStyle w:val="2"/>
        <w:ind w:firstLine="480" w:firstLineChars="200"/>
        <w:rPr>
          <w:rFonts w:ascii="Times New Roman" w:hAnsi="Times New Roman" w:cs="Times New Roman"/>
          <w:color w:val="auto"/>
          <w:shd w:val="clear" w:color="auto" w:fill="auto"/>
        </w:rPr>
      </w:pPr>
      <w:r>
        <w:rPr>
          <w:rFonts w:ascii="Times New Roman" w:hAnsi="Times New Roman" w:cs="Times New Roman"/>
          <w:color w:val="auto"/>
          <w:shd w:val="clear" w:color="auto" w:fill="auto"/>
        </w:rPr>
        <w:t>项目固</w:t>
      </w:r>
      <w:r>
        <w:rPr>
          <w:rFonts w:hint="eastAsia" w:cs="Times New Roman"/>
          <w:color w:val="auto"/>
          <w:shd w:val="clear" w:color="auto" w:fill="auto"/>
          <w:lang w:eastAsia="zh-CN"/>
        </w:rPr>
        <w:t>体</w:t>
      </w:r>
      <w:r>
        <w:rPr>
          <w:rFonts w:ascii="Times New Roman" w:hAnsi="Times New Roman" w:cs="Times New Roman"/>
          <w:color w:val="auto"/>
          <w:shd w:val="clear" w:color="auto" w:fill="auto"/>
        </w:rPr>
        <w:t>废</w:t>
      </w:r>
      <w:r>
        <w:rPr>
          <w:rFonts w:hint="eastAsia" w:cs="Times New Roman"/>
          <w:color w:val="auto"/>
          <w:shd w:val="clear" w:color="auto" w:fill="auto"/>
          <w:lang w:eastAsia="zh-CN"/>
        </w:rPr>
        <w:t>弃物主要为沉淀池污泥和少量生活垃圾，</w:t>
      </w:r>
      <w:r>
        <w:rPr>
          <w:rFonts w:hint="eastAsia" w:cs="Times New Roman"/>
          <w:color w:val="auto"/>
          <w:shd w:val="clear" w:color="auto" w:fill="auto"/>
          <w:lang w:val="en-US" w:eastAsia="zh-CN"/>
        </w:rPr>
        <w:t>生活垃圾由环卫部门收集处理；污泥</w:t>
      </w:r>
      <w:r>
        <w:rPr>
          <w:rFonts w:ascii="Times New Roman" w:hAnsi="Times New Roman" w:cs="Times New Roman"/>
          <w:color w:val="auto"/>
          <w:shd w:val="clear" w:color="auto" w:fill="auto"/>
        </w:rPr>
        <w:t>定期</w:t>
      </w:r>
      <w:r>
        <w:rPr>
          <w:rFonts w:hint="eastAsia" w:cs="Times New Roman"/>
          <w:color w:val="auto"/>
          <w:shd w:val="clear" w:color="auto" w:fill="auto"/>
          <w:lang w:eastAsia="zh-CN"/>
        </w:rPr>
        <w:t>清掏</w:t>
      </w:r>
      <w:r>
        <w:rPr>
          <w:rFonts w:hint="eastAsia"/>
          <w:sz w:val="24"/>
          <w:szCs w:val="24"/>
          <w:lang w:val="en-US" w:eastAsia="zh-CN"/>
        </w:rPr>
        <w:t>经干化脱水后</w:t>
      </w:r>
      <w:r>
        <w:rPr>
          <w:rFonts w:hint="eastAsia" w:cs="Times New Roman"/>
          <w:color w:val="auto"/>
          <w:shd w:val="clear" w:color="auto" w:fill="auto"/>
          <w:lang w:eastAsia="zh-CN"/>
        </w:rPr>
        <w:t>回填于井下采空区</w:t>
      </w:r>
      <w:r>
        <w:rPr>
          <w:rFonts w:ascii="Times New Roman" w:hAnsi="Times New Roman" w:cs="Times New Roman"/>
          <w:color w:val="auto"/>
          <w:shd w:val="clear" w:color="auto" w:fill="auto"/>
        </w:rPr>
        <w:t>。</w:t>
      </w:r>
    </w:p>
    <w:p>
      <w:pPr>
        <w:pStyle w:val="5"/>
        <w:rPr>
          <w:rFonts w:hint="eastAsia"/>
          <w:color w:val="auto"/>
          <w:lang w:val="en-US" w:eastAsia="zh-CN"/>
        </w:rPr>
      </w:pPr>
      <w:r>
        <w:rPr>
          <w:rFonts w:hint="eastAsia"/>
          <w:color w:val="auto"/>
          <w:lang w:val="en-US" w:eastAsia="zh-CN"/>
        </w:rPr>
        <w:t>7.6.2有效性分析</w:t>
      </w:r>
    </w:p>
    <w:p>
      <w:pPr>
        <w:ind w:firstLine="480" w:firstLineChars="200"/>
        <w:rPr>
          <w:rFonts w:hint="eastAsia"/>
          <w:lang w:val="en-US" w:eastAsia="zh-CN"/>
        </w:rPr>
      </w:pPr>
      <w:r>
        <w:rPr>
          <w:rFonts w:hint="eastAsia"/>
          <w:color w:val="auto"/>
          <w:lang w:val="en-US" w:eastAsia="zh-CN"/>
        </w:rPr>
        <w:t>项目固体废弃污染物都得到妥善处置，未私自排放，未对周边生态环境产生影响，项目固废处置方案有效可行。</w:t>
      </w:r>
    </w:p>
    <w:p>
      <w:pPr>
        <w:pStyle w:val="5"/>
        <w:rPr>
          <w:rFonts w:hint="eastAsia"/>
          <w:color w:val="auto"/>
          <w:lang w:val="en-US" w:eastAsia="zh-CN"/>
        </w:rPr>
      </w:pPr>
      <w:r>
        <w:rPr>
          <w:rFonts w:hint="eastAsia"/>
          <w:color w:val="auto"/>
          <w:lang w:val="en-US" w:eastAsia="zh-CN"/>
        </w:rPr>
        <w:t>7.6.3建议</w:t>
      </w:r>
    </w:p>
    <w:p>
      <w:pPr>
        <w:ind w:firstLine="480" w:firstLineChars="200"/>
        <w:rPr>
          <w:rFonts w:hint="eastAsia"/>
          <w:lang w:val="en-US" w:eastAsia="zh-CN"/>
        </w:rPr>
      </w:pPr>
      <w:r>
        <w:rPr>
          <w:rFonts w:hint="eastAsia"/>
          <w:lang w:val="en-US" w:eastAsia="zh-CN"/>
        </w:rPr>
        <w:t>保证将产出的废矿石全部回填至采空区内，选矿厂废渣和沉淀池底泥同样回填，避免堆放在露天环境内，防止影响附近生态环境，建议建立管理台账。</w:t>
      </w:r>
    </w:p>
    <w:p>
      <w:pPr>
        <w:pStyle w:val="4"/>
        <w:rPr>
          <w:rFonts w:hint="eastAsia"/>
          <w:color w:val="auto"/>
          <w:lang w:val="en-US" w:eastAsia="zh-CN"/>
        </w:rPr>
      </w:pPr>
      <w:bookmarkStart w:id="288" w:name="_Toc12562"/>
      <w:r>
        <w:rPr>
          <w:rFonts w:hint="eastAsia"/>
          <w:color w:val="auto"/>
          <w:lang w:val="en-US" w:eastAsia="zh-CN"/>
        </w:rPr>
        <w:t>7.7 调查结论</w:t>
      </w:r>
      <w:bookmarkEnd w:id="288"/>
    </w:p>
    <w:p>
      <w:pPr>
        <w:ind w:firstLine="480" w:firstLineChars="200"/>
        <w:rPr>
          <w:rFonts w:hint="eastAsia"/>
          <w:lang w:val="en-US" w:eastAsia="zh-CN"/>
        </w:rPr>
      </w:pPr>
      <w:r>
        <w:rPr>
          <w:rFonts w:hint="eastAsia"/>
          <w:lang w:val="en-US" w:eastAsia="zh-CN"/>
        </w:rPr>
        <w:t>经调查和监测，建设项目各项污染物都通过相应环保措施得到了相应的处置，监测结果全部达标；项目地附近敏感点的环境空气和环境噪声质量也全部达标，地下水水质较好，证明项目未对周边环境产生影响，环保设施落实到位，污染物处置合理，环保管理严谨可行。</w:t>
      </w:r>
    </w:p>
    <w:p>
      <w:pPr>
        <w:rPr>
          <w:rFonts w:hint="eastAsia"/>
          <w:lang w:val="en-US" w:eastAsia="zh-CN"/>
        </w:rPr>
      </w:pPr>
    </w:p>
    <w:p>
      <w:pPr>
        <w:pStyle w:val="2"/>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jc w:val="center"/>
        <w:rPr>
          <w:rFonts w:hint="eastAsia"/>
          <w:lang w:val="en-US" w:eastAsia="zh-CN"/>
        </w:rPr>
      </w:pPr>
      <w:bookmarkStart w:id="289" w:name="_Toc10415"/>
      <w:r>
        <w:rPr>
          <w:rFonts w:hint="eastAsia"/>
          <w:lang w:val="en-US" w:eastAsia="zh-CN"/>
        </w:rPr>
        <w:t>8 环境管理及环境风险防范</w:t>
      </w:r>
      <w:bookmarkEnd w:id="289"/>
    </w:p>
    <w:p>
      <w:pPr>
        <w:pStyle w:val="4"/>
        <w:rPr>
          <w:rFonts w:hint="eastAsia"/>
          <w:color w:val="auto"/>
          <w:lang w:val="en-US" w:eastAsia="zh-CN"/>
        </w:rPr>
      </w:pPr>
      <w:bookmarkStart w:id="290" w:name="_Toc28986"/>
      <w:bookmarkStart w:id="291" w:name="_Toc8956"/>
      <w:bookmarkStart w:id="292" w:name="_Toc8038"/>
      <w:bookmarkStart w:id="293" w:name="_Toc31861"/>
      <w:bookmarkStart w:id="294" w:name="_Toc30995"/>
      <w:bookmarkStart w:id="295" w:name="_Toc32302"/>
      <w:bookmarkStart w:id="296" w:name="_Toc446489422"/>
      <w:r>
        <w:rPr>
          <w:rFonts w:hint="eastAsia"/>
          <w:color w:val="auto"/>
          <w:lang w:val="en-US" w:eastAsia="zh-CN"/>
        </w:rPr>
        <w:t>8.1 环境管理的目的</w:t>
      </w:r>
      <w:bookmarkEnd w:id="290"/>
      <w:bookmarkEnd w:id="291"/>
    </w:p>
    <w:p>
      <w:pPr>
        <w:ind w:firstLine="480" w:firstLineChars="200"/>
        <w:rPr>
          <w:rFonts w:hint="eastAsia"/>
          <w:color w:val="auto"/>
          <w:lang w:val="en-US" w:eastAsia="zh-CN"/>
        </w:rPr>
      </w:pPr>
      <w:r>
        <w:rPr>
          <w:rFonts w:hint="eastAsia"/>
          <w:color w:val="auto"/>
          <w:lang w:val="en-US" w:eastAsia="zh-CN"/>
        </w:rPr>
        <w:t>通过环境管理，提高组织对其环境影响的控制水平，促进组织达到环保法规的要求，在产品生产全过程及服务中最大限度地减少对环境的危害，节能降耗，提高资源利用率，促进企业的持续发展，树立绿色形象。</w:t>
      </w:r>
    </w:p>
    <w:p>
      <w:pPr>
        <w:pStyle w:val="4"/>
        <w:rPr>
          <w:rFonts w:hint="eastAsia"/>
          <w:color w:val="auto"/>
          <w:lang w:val="en-US" w:eastAsia="zh-CN"/>
        </w:rPr>
      </w:pPr>
      <w:bookmarkStart w:id="297" w:name="_Toc2878"/>
      <w:bookmarkStart w:id="298" w:name="_Toc29726"/>
      <w:r>
        <w:rPr>
          <w:rFonts w:hint="eastAsia"/>
          <w:color w:val="auto"/>
          <w:lang w:val="en-US" w:eastAsia="zh-CN"/>
        </w:rPr>
        <w:t>8.2 环境管理机构</w:t>
      </w:r>
      <w:bookmarkEnd w:id="297"/>
      <w:bookmarkEnd w:id="298"/>
    </w:p>
    <w:p>
      <w:pPr>
        <w:ind w:firstLine="480" w:firstLineChars="200"/>
        <w:rPr>
          <w:rFonts w:hint="eastAsia"/>
          <w:color w:val="auto"/>
          <w:lang w:val="en-US" w:eastAsia="zh-CN"/>
        </w:rPr>
      </w:pPr>
      <w:r>
        <w:rPr>
          <w:rFonts w:hint="eastAsia" w:ascii="宋体" w:hAnsi="宋体"/>
          <w:color w:val="auto"/>
          <w:sz w:val="24"/>
          <w:lang w:eastAsia="zh-CN"/>
        </w:rPr>
        <w:t>池州市姚街新冲铅锌矿有限公司有专门的安环部门，是为切实加强公司环境保护工作，增强各级领导的环保意识，加大环保管理力度，更好的推进环境保护工作，主要负责对施工期环境保护措施落实情况、“三同时”制度执行情况、以及项目运行后各生产排污情况、环保设施运行情况、宣传教育等进行管理。</w:t>
      </w:r>
    </w:p>
    <w:p>
      <w:pPr>
        <w:pStyle w:val="4"/>
        <w:rPr>
          <w:rFonts w:hint="eastAsia"/>
          <w:color w:val="auto"/>
          <w:lang w:val="en-US" w:eastAsia="zh-CN"/>
        </w:rPr>
      </w:pPr>
      <w:bookmarkStart w:id="299" w:name="_Toc23530"/>
      <w:bookmarkStart w:id="300" w:name="_Toc22091"/>
      <w:r>
        <w:rPr>
          <w:rFonts w:hint="eastAsia"/>
          <w:color w:val="auto"/>
          <w:lang w:val="en-US" w:eastAsia="zh-CN"/>
        </w:rPr>
        <w:t>8.3 环境保护管理制度</w:t>
      </w:r>
      <w:bookmarkEnd w:id="299"/>
      <w:bookmarkEnd w:id="300"/>
    </w:p>
    <w:p>
      <w:pPr>
        <w:ind w:firstLine="480" w:firstLineChars="200"/>
        <w:rPr>
          <w:rFonts w:hint="eastAsia"/>
          <w:color w:val="auto"/>
          <w:lang w:val="en-US" w:eastAsia="zh-CN"/>
        </w:rPr>
      </w:pPr>
      <w:r>
        <w:rPr>
          <w:rFonts w:hint="eastAsia"/>
        </w:rPr>
        <w:t>目前，公司成立了环保工作领导小组，制订了环保管理工作制度，各污染治理设施均按环评报告书、环评批复以及相关设计的要求进行安装且运行正常。</w:t>
      </w:r>
    </w:p>
    <w:p>
      <w:pPr>
        <w:pStyle w:val="4"/>
        <w:rPr>
          <w:color w:val="auto"/>
        </w:rPr>
      </w:pPr>
      <w:bookmarkStart w:id="301" w:name="_Toc11770"/>
      <w:r>
        <w:rPr>
          <w:rFonts w:hint="eastAsia"/>
          <w:color w:val="auto"/>
          <w:lang w:val="en-US" w:eastAsia="zh-CN"/>
        </w:rPr>
        <w:t>8.4</w:t>
      </w:r>
      <w:r>
        <w:rPr>
          <w:color w:val="auto"/>
        </w:rPr>
        <w:t xml:space="preserve"> 建设项目</w:t>
      </w:r>
      <w:r>
        <w:rPr>
          <w:rFonts w:hint="eastAsia"/>
          <w:color w:val="auto"/>
        </w:rPr>
        <w:t>“三同时”</w:t>
      </w:r>
      <w:r>
        <w:rPr>
          <w:color w:val="auto"/>
        </w:rPr>
        <w:t>制度执行情况</w:t>
      </w:r>
      <w:bookmarkEnd w:id="292"/>
      <w:bookmarkEnd w:id="293"/>
      <w:bookmarkEnd w:id="294"/>
      <w:bookmarkEnd w:id="295"/>
      <w:bookmarkEnd w:id="296"/>
      <w:bookmarkEnd w:id="301"/>
    </w:p>
    <w:p>
      <w:pPr>
        <w:ind w:firstLine="480" w:firstLineChars="200"/>
        <w:rPr>
          <w:rFonts w:ascii="Times New Roman" w:hAnsi="Times New Roman" w:cs="Times New Roman"/>
          <w:color w:val="auto"/>
          <w:shd w:val="clear" w:color="auto" w:fill="auto"/>
        </w:rPr>
      </w:pPr>
      <w:r>
        <w:rPr>
          <w:rFonts w:hint="eastAsia" w:cs="Times New Roman"/>
          <w:color w:val="auto"/>
          <w:shd w:val="clear" w:color="auto" w:fill="auto"/>
          <w:lang w:eastAsia="zh-CN"/>
        </w:rPr>
        <w:t>池州市贵池区姚街新冲铅锌矿</w:t>
      </w:r>
      <w:r>
        <w:rPr>
          <w:rFonts w:ascii="Times New Roman" w:hAnsi="Times New Roman" w:cs="Times New Roman"/>
          <w:color w:val="auto"/>
          <w:shd w:val="clear" w:color="auto" w:fill="auto"/>
        </w:rPr>
        <w:t>有限公司</w:t>
      </w:r>
      <w:r>
        <w:rPr>
          <w:rFonts w:hint="eastAsia" w:cs="Times New Roman"/>
          <w:color w:val="auto"/>
          <w:shd w:val="clear" w:color="auto" w:fill="auto"/>
          <w:lang w:eastAsia="zh-CN"/>
        </w:rPr>
        <w:t>年产</w:t>
      </w:r>
      <w:r>
        <w:rPr>
          <w:rFonts w:hint="eastAsia" w:cs="Times New Roman"/>
          <w:color w:val="auto"/>
          <w:shd w:val="clear" w:color="auto" w:fill="auto"/>
          <w:lang w:val="en-US" w:eastAsia="zh-CN"/>
        </w:rPr>
        <w:t>2万吨铅锌矿石原矿采矿技改整合扩建项目</w:t>
      </w:r>
      <w:r>
        <w:rPr>
          <w:rFonts w:ascii="Times New Roman" w:hAnsi="Times New Roman" w:cs="Times New Roman"/>
          <w:color w:val="auto"/>
          <w:shd w:val="clear" w:color="auto" w:fill="auto"/>
        </w:rPr>
        <w:t>根据环保要求履行了环境影响评价，并按</w:t>
      </w:r>
      <w:r>
        <w:rPr>
          <w:rFonts w:hint="eastAsia" w:cs="Times New Roman"/>
          <w:color w:val="auto"/>
          <w:shd w:val="clear" w:color="auto" w:fill="auto"/>
          <w:lang w:val="en-US" w:eastAsia="zh-CN"/>
        </w:rPr>
        <w:t>池州市环保局和安徽省环境保护厅</w:t>
      </w:r>
      <w:r>
        <w:rPr>
          <w:rFonts w:ascii="Times New Roman" w:hAnsi="Times New Roman" w:cs="Times New Roman"/>
          <w:color w:val="auto"/>
          <w:shd w:val="clear" w:color="auto" w:fill="auto"/>
        </w:rPr>
        <w:t>要求，初步落实了废气、废水、固废</w:t>
      </w:r>
      <w:r>
        <w:rPr>
          <w:rFonts w:hint="eastAsia" w:ascii="Times New Roman" w:hAnsi="Times New Roman" w:cs="Times New Roman"/>
          <w:color w:val="auto"/>
          <w:shd w:val="clear" w:color="auto" w:fill="auto"/>
          <w:lang w:val="en-US" w:eastAsia="zh-CN"/>
        </w:rPr>
        <w:t>和噪声的</w:t>
      </w:r>
      <w:r>
        <w:rPr>
          <w:rFonts w:ascii="Times New Roman" w:hAnsi="Times New Roman" w:cs="Times New Roman"/>
          <w:color w:val="auto"/>
          <w:shd w:val="clear" w:color="auto" w:fill="auto"/>
        </w:rPr>
        <w:t>治理措施。</w:t>
      </w:r>
    </w:p>
    <w:p>
      <w:pPr>
        <w:pStyle w:val="4"/>
        <w:rPr>
          <w:color w:val="auto"/>
        </w:rPr>
      </w:pPr>
      <w:bookmarkStart w:id="302" w:name="_Toc20386"/>
      <w:bookmarkStart w:id="303" w:name="_Toc8388"/>
      <w:bookmarkStart w:id="304" w:name="_Toc446489423"/>
      <w:bookmarkStart w:id="305" w:name="_Toc32306"/>
      <w:bookmarkStart w:id="306" w:name="_Toc1434"/>
      <w:bookmarkStart w:id="307" w:name="_Toc28535"/>
      <w:r>
        <w:rPr>
          <w:rFonts w:hint="eastAsia"/>
          <w:color w:val="auto"/>
          <w:lang w:val="en-US" w:eastAsia="zh-CN"/>
        </w:rPr>
        <w:t>8</w:t>
      </w:r>
      <w:r>
        <w:rPr>
          <w:color w:val="auto"/>
        </w:rPr>
        <w:t>.</w:t>
      </w:r>
      <w:r>
        <w:rPr>
          <w:rFonts w:hint="eastAsia"/>
          <w:color w:val="auto"/>
          <w:lang w:val="en-US" w:eastAsia="zh-CN"/>
        </w:rPr>
        <w:t>5</w:t>
      </w:r>
      <w:r>
        <w:rPr>
          <w:color w:val="auto"/>
        </w:rPr>
        <w:t xml:space="preserve"> 环境保护机构设置、环境管理规章制度及落实情况</w:t>
      </w:r>
      <w:bookmarkEnd w:id="302"/>
      <w:bookmarkEnd w:id="303"/>
      <w:bookmarkEnd w:id="304"/>
      <w:bookmarkEnd w:id="305"/>
      <w:bookmarkEnd w:id="306"/>
      <w:bookmarkEnd w:id="307"/>
    </w:p>
    <w:p>
      <w:pPr>
        <w:ind w:left="0" w:leftChars="0" w:firstLine="480" w:firstLineChars="200"/>
        <w:rPr>
          <w:rFonts w:hint="eastAsia"/>
          <w:color w:val="auto"/>
        </w:rPr>
      </w:pPr>
      <w:r>
        <w:rPr>
          <w:rFonts w:hint="eastAsia"/>
          <w:color w:val="auto"/>
        </w:rPr>
        <w:t>为认真执行国家环境保护法律法规与行政规章，做好环保工作，项目有专职环保管理员负责环境管理，包括对污水、废气和废弃物的管理，确保各项环保工</w:t>
      </w:r>
    </w:p>
    <w:p>
      <w:pPr>
        <w:rPr>
          <w:color w:val="auto"/>
        </w:rPr>
      </w:pPr>
      <w:r>
        <w:rPr>
          <w:rFonts w:hint="eastAsia"/>
          <w:color w:val="auto"/>
        </w:rPr>
        <w:t>作的正常开展；确保了正常情况下的安全生产，无事故发生。</w:t>
      </w:r>
    </w:p>
    <w:p>
      <w:pPr>
        <w:pStyle w:val="4"/>
        <w:rPr>
          <w:color w:val="auto"/>
        </w:rPr>
      </w:pPr>
      <w:bookmarkStart w:id="308" w:name="_Toc2800"/>
      <w:bookmarkStart w:id="309" w:name="_Toc27483"/>
      <w:bookmarkStart w:id="310" w:name="_Toc26961"/>
      <w:bookmarkStart w:id="311" w:name="_Toc446489424"/>
      <w:bookmarkStart w:id="312" w:name="_Toc24630"/>
      <w:bookmarkStart w:id="313" w:name="_Toc18385"/>
      <w:r>
        <w:rPr>
          <w:rFonts w:hint="eastAsia"/>
          <w:color w:val="auto"/>
          <w:lang w:val="en-US" w:eastAsia="zh-CN"/>
        </w:rPr>
        <w:t>8</w:t>
      </w:r>
      <w:r>
        <w:rPr>
          <w:color w:val="auto"/>
        </w:rPr>
        <w:t>.</w:t>
      </w:r>
      <w:r>
        <w:rPr>
          <w:rFonts w:hint="eastAsia"/>
          <w:color w:val="auto"/>
          <w:lang w:val="en-US" w:eastAsia="zh-CN"/>
        </w:rPr>
        <w:t>6</w:t>
      </w:r>
      <w:r>
        <w:rPr>
          <w:color w:val="auto"/>
        </w:rPr>
        <w:t xml:space="preserve"> 环保设施投资和环保设施运行及维护情况</w:t>
      </w:r>
      <w:bookmarkEnd w:id="308"/>
      <w:bookmarkEnd w:id="309"/>
      <w:bookmarkEnd w:id="310"/>
      <w:bookmarkEnd w:id="311"/>
      <w:bookmarkEnd w:id="312"/>
      <w:bookmarkEnd w:id="313"/>
    </w:p>
    <w:p>
      <w:pPr>
        <w:ind w:firstLine="460" w:firstLineChars="192"/>
        <w:rPr>
          <w:rFonts w:ascii="Times New Roman" w:hAnsi="Times New Roman" w:cs="Times New Roman"/>
          <w:color w:val="auto"/>
          <w:shd w:val="clear" w:color="auto" w:fill="auto"/>
        </w:rPr>
      </w:pPr>
      <w:r>
        <w:rPr>
          <w:rFonts w:hint="eastAsia" w:cs="Times New Roman"/>
          <w:color w:val="auto"/>
          <w:shd w:val="clear" w:color="auto" w:fill="auto"/>
          <w:lang w:val="en-US" w:eastAsia="zh-CN"/>
        </w:rPr>
        <w:t>企业</w:t>
      </w:r>
      <w:r>
        <w:rPr>
          <w:rFonts w:ascii="Times New Roman" w:hAnsi="Times New Roman" w:cs="Times New Roman"/>
          <w:color w:val="auto"/>
          <w:shd w:val="clear" w:color="auto" w:fill="auto"/>
        </w:rPr>
        <w:t>按环评报告书要求投资建设了环保设施，环保设施投入正常运行，有专人操作，设备维护保养工作正常开展。</w:t>
      </w:r>
    </w:p>
    <w:p>
      <w:pPr>
        <w:pStyle w:val="4"/>
        <w:rPr>
          <w:color w:val="auto"/>
        </w:rPr>
      </w:pPr>
      <w:bookmarkStart w:id="314" w:name="_Toc16466"/>
      <w:bookmarkStart w:id="315" w:name="_Toc5687"/>
      <w:bookmarkStart w:id="316" w:name="_Toc9571"/>
      <w:bookmarkStart w:id="317" w:name="_Toc446489425"/>
      <w:bookmarkStart w:id="318" w:name="_Toc6563"/>
      <w:bookmarkStart w:id="319" w:name="_Toc17667"/>
      <w:r>
        <w:rPr>
          <w:rFonts w:hint="eastAsia"/>
          <w:color w:val="auto"/>
          <w:lang w:val="en-US" w:eastAsia="zh-CN"/>
        </w:rPr>
        <w:t>8</w:t>
      </w:r>
      <w:r>
        <w:rPr>
          <w:color w:val="auto"/>
        </w:rPr>
        <w:t>.</w:t>
      </w:r>
      <w:r>
        <w:rPr>
          <w:rFonts w:hint="eastAsia"/>
          <w:color w:val="auto"/>
          <w:lang w:val="en-US" w:eastAsia="zh-CN"/>
        </w:rPr>
        <w:t>7</w:t>
      </w:r>
      <w:r>
        <w:rPr>
          <w:color w:val="auto"/>
        </w:rPr>
        <w:t xml:space="preserve"> 固体废弃物的排放、利用及其处理处置情况</w:t>
      </w:r>
      <w:bookmarkEnd w:id="314"/>
      <w:bookmarkEnd w:id="315"/>
      <w:bookmarkEnd w:id="316"/>
      <w:bookmarkEnd w:id="317"/>
      <w:bookmarkEnd w:id="318"/>
      <w:bookmarkEnd w:id="319"/>
    </w:p>
    <w:p>
      <w:pPr>
        <w:ind w:firstLine="480" w:firstLineChars="200"/>
        <w:rPr>
          <w:rFonts w:ascii="Times New Roman" w:hAnsi="Times New Roman" w:cs="Times New Roman"/>
          <w:color w:val="auto"/>
          <w:shd w:val="clear" w:color="auto" w:fill="auto"/>
        </w:rPr>
      </w:pPr>
      <w:r>
        <w:rPr>
          <w:rFonts w:ascii="Times New Roman" w:hAnsi="Times New Roman" w:cs="Times New Roman"/>
          <w:color w:val="auto"/>
          <w:shd w:val="clear" w:color="auto" w:fill="auto"/>
        </w:rPr>
        <w:t>项目固</w:t>
      </w:r>
      <w:r>
        <w:rPr>
          <w:rFonts w:hint="eastAsia" w:cs="Times New Roman"/>
          <w:color w:val="auto"/>
          <w:shd w:val="clear" w:color="auto" w:fill="auto"/>
          <w:lang w:eastAsia="zh-CN"/>
        </w:rPr>
        <w:t>体</w:t>
      </w:r>
      <w:r>
        <w:rPr>
          <w:rFonts w:ascii="Times New Roman" w:hAnsi="Times New Roman" w:cs="Times New Roman"/>
          <w:color w:val="auto"/>
          <w:shd w:val="clear" w:color="auto" w:fill="auto"/>
        </w:rPr>
        <w:t>废</w:t>
      </w:r>
      <w:r>
        <w:rPr>
          <w:rFonts w:hint="eastAsia" w:cs="Times New Roman"/>
          <w:color w:val="auto"/>
          <w:shd w:val="clear" w:color="auto" w:fill="auto"/>
          <w:lang w:eastAsia="zh-CN"/>
        </w:rPr>
        <w:t>弃物主要为污泥和少量生活垃圾，</w:t>
      </w:r>
      <w:r>
        <w:rPr>
          <w:rFonts w:hint="eastAsia" w:cs="Times New Roman"/>
          <w:color w:val="auto"/>
          <w:shd w:val="clear" w:color="auto" w:fill="auto"/>
          <w:lang w:val="en-US" w:eastAsia="zh-CN"/>
        </w:rPr>
        <w:t>生活垃圾由环卫部门收集处理；污泥</w:t>
      </w:r>
      <w:r>
        <w:rPr>
          <w:rFonts w:ascii="Times New Roman" w:hAnsi="Times New Roman" w:cs="Times New Roman"/>
          <w:color w:val="auto"/>
          <w:shd w:val="clear" w:color="auto" w:fill="auto"/>
        </w:rPr>
        <w:t>定期</w:t>
      </w:r>
      <w:r>
        <w:rPr>
          <w:rFonts w:hint="eastAsia" w:cs="Times New Roman"/>
          <w:color w:val="auto"/>
          <w:shd w:val="clear" w:color="auto" w:fill="auto"/>
          <w:lang w:eastAsia="zh-CN"/>
        </w:rPr>
        <w:t>清掏</w:t>
      </w:r>
      <w:r>
        <w:rPr>
          <w:rFonts w:hint="eastAsia"/>
          <w:sz w:val="21"/>
          <w:szCs w:val="21"/>
          <w:lang w:val="en-US" w:eastAsia="zh-CN"/>
        </w:rPr>
        <w:t>经干化脱水后</w:t>
      </w:r>
      <w:r>
        <w:rPr>
          <w:rFonts w:hint="eastAsia" w:cs="Times New Roman"/>
          <w:color w:val="auto"/>
          <w:shd w:val="clear" w:color="auto" w:fill="auto"/>
          <w:lang w:eastAsia="zh-CN"/>
        </w:rPr>
        <w:t>回填于井下采空区</w:t>
      </w:r>
      <w:r>
        <w:rPr>
          <w:rFonts w:ascii="Times New Roman" w:hAnsi="Times New Roman" w:cs="Times New Roman"/>
          <w:color w:val="auto"/>
          <w:shd w:val="clear" w:color="auto" w:fill="auto"/>
        </w:rPr>
        <w:t>。</w:t>
      </w:r>
    </w:p>
    <w:p>
      <w:pPr>
        <w:pStyle w:val="4"/>
        <w:rPr>
          <w:rFonts w:hint="eastAsia"/>
          <w:color w:val="auto"/>
          <w:lang w:val="en-US" w:eastAsia="zh-CN"/>
        </w:rPr>
      </w:pPr>
      <w:bookmarkStart w:id="320" w:name="_Toc2670"/>
      <w:bookmarkStart w:id="321" w:name="_Toc25754"/>
      <w:r>
        <w:rPr>
          <w:rFonts w:hint="eastAsia"/>
          <w:color w:val="auto"/>
          <w:lang w:val="en-US" w:eastAsia="zh-CN"/>
        </w:rPr>
        <w:t>8.8 风险事故防范及应急措施调查</w:t>
      </w:r>
      <w:bookmarkEnd w:id="320"/>
      <w:bookmarkEnd w:id="321"/>
    </w:p>
    <w:p>
      <w:pPr>
        <w:ind w:firstLine="480" w:firstLineChars="200"/>
        <w:rPr>
          <w:rFonts w:hint="eastAsia" w:ascii="宋体" w:hAnsi="宋体"/>
          <w:color w:val="000000"/>
          <w:kern w:val="0"/>
          <w:sz w:val="28"/>
          <w:szCs w:val="28"/>
          <w:lang w:val="zh-CN"/>
        </w:rPr>
      </w:pPr>
      <w:r>
        <w:rPr>
          <w:rFonts w:hint="eastAsia"/>
          <w:lang w:val="en-US" w:eastAsia="zh-CN"/>
        </w:rPr>
        <w:t>项目应急预案已于2016年7月11日通过池州市贵池区环境监察大队审核并备案（备案号为341702-2016-015-L），适用于该企业区域内可能发生或者已经发生的，需要由企业负责处置或者参与处置的重大、较大、一般突发环境事件的应对工作。</w:t>
      </w:r>
    </w:p>
    <w:p>
      <w:pPr>
        <w:pStyle w:val="5"/>
        <w:rPr>
          <w:rFonts w:hint="eastAsia"/>
          <w:lang w:val="zh-CN"/>
        </w:rPr>
      </w:pPr>
      <w:r>
        <w:rPr>
          <w:rFonts w:hint="eastAsia"/>
          <w:lang w:val="en-US" w:eastAsia="zh-CN"/>
        </w:rPr>
        <w:t>8.8.1</w:t>
      </w:r>
      <w:r>
        <w:rPr>
          <w:rFonts w:hint="eastAsia"/>
          <w:lang w:val="zh-CN"/>
        </w:rPr>
        <w:t>应急预案内容</w:t>
      </w:r>
    </w:p>
    <w:p>
      <w:pPr>
        <w:pStyle w:val="2"/>
        <w:ind w:firstLine="480" w:firstLineChars="200"/>
        <w:rPr>
          <w:rFonts w:hint="eastAsia" w:hAnsi="宋体"/>
          <w:sz w:val="24"/>
          <w:szCs w:val="24"/>
          <w:lang w:eastAsia="zh-CN"/>
        </w:rPr>
      </w:pPr>
      <w:r>
        <w:rPr>
          <w:rFonts w:hAnsi="宋体"/>
          <w:sz w:val="24"/>
          <w:szCs w:val="24"/>
        </w:rPr>
        <w:t>本预案的</w:t>
      </w:r>
      <w:r>
        <w:rPr>
          <w:rFonts w:hint="eastAsia" w:hAnsi="宋体"/>
          <w:sz w:val="24"/>
          <w:szCs w:val="24"/>
        </w:rPr>
        <w:t>修编</w:t>
      </w:r>
      <w:r>
        <w:rPr>
          <w:rFonts w:hAnsi="宋体"/>
          <w:sz w:val="24"/>
          <w:szCs w:val="24"/>
        </w:rPr>
        <w:t>内容共分为九个部分，即：基本情况调查、危险性分析、应急组织机构与职责、保障措施、预防和预警、应急响应、后期处置、应急演习和附则</w:t>
      </w:r>
      <w:r>
        <w:rPr>
          <w:rFonts w:hint="eastAsia" w:hAnsi="宋体"/>
          <w:sz w:val="24"/>
          <w:szCs w:val="24"/>
          <w:lang w:eastAsia="zh-CN"/>
        </w:rPr>
        <w:t>。</w:t>
      </w:r>
    </w:p>
    <w:p>
      <w:pPr>
        <w:pStyle w:val="5"/>
      </w:pPr>
      <w:r>
        <w:rPr>
          <w:rFonts w:hint="eastAsia"/>
          <w:lang w:val="en-US" w:eastAsia="zh-CN"/>
        </w:rPr>
        <w:t>8.8.2</w:t>
      </w:r>
      <w:r>
        <w:t>环境应急组织机构与职责</w:t>
      </w:r>
    </w:p>
    <w:p>
      <w:pPr>
        <w:pStyle w:val="19"/>
        <w:ind w:firstLine="482" w:firstLineChars="200"/>
        <w:rPr>
          <w:b/>
          <w:bCs/>
        </w:rPr>
      </w:pPr>
      <w:bookmarkStart w:id="322" w:name="_Toc194051900"/>
      <w:bookmarkStart w:id="323" w:name="_Toc246239561"/>
      <w:bookmarkStart w:id="324" w:name="_Toc286324569"/>
      <w:bookmarkStart w:id="325" w:name="_Toc241053015"/>
      <w:bookmarkStart w:id="326" w:name="_Toc243217985"/>
      <w:bookmarkStart w:id="327" w:name="_Toc242849925"/>
      <w:r>
        <w:rPr>
          <w:rFonts w:hint="eastAsia"/>
          <w:b/>
          <w:bCs/>
          <w:lang w:eastAsia="zh-CN"/>
        </w:rPr>
        <w:t>一、</w:t>
      </w:r>
      <w:r>
        <w:rPr>
          <w:b/>
          <w:bCs/>
        </w:rPr>
        <w:t>环境应急工作领导小组职责</w:t>
      </w:r>
      <w:bookmarkEnd w:id="322"/>
      <w:bookmarkEnd w:id="323"/>
      <w:bookmarkEnd w:id="324"/>
      <w:bookmarkEnd w:id="325"/>
      <w:bookmarkEnd w:id="326"/>
      <w:bookmarkEnd w:id="327"/>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（1）根据企业实际生产情况，制定本单位环境安全生产规章制度，组织相关人员学习和交流，建立起相应的监督机制，保障生产的安全运行；</w:t>
      </w:r>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（2）根据安全环保生产的要求，保障用于安全环保生产相关的设备设施投入和运行；</w:t>
      </w:r>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（3）建立环保安全检查组织，及时积极对安全环保生产进行监督和维护，预防和消除环保安全事故隐患；</w:t>
      </w:r>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（4）熟悉应急预案的具体要求，并根据应急预案提出的应急物资计划组织采购储备应急物资，从人员、财力、物力等方面保证突发环境事件应急的实施需要；</w:t>
      </w:r>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（5）发生突发环境污染事故后，根据本预案制定的时限，及时、主动向环境应急指挥部提供应急救援有关的基础资料，如实报告有关情况以及可能造成的污染危害等。</w:t>
      </w:r>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（6）全权负责事故应急处置的组织指挥，并根据事故的性质、类别实施应急措施，结合实际决策总体救援处置方案；</w:t>
      </w:r>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（7）调度事故救援所需要的人、财、物的力量，并根据事态发展，适时调整事故处置方案。</w:t>
      </w:r>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企业的环境应急领导小组主要由矿长、副矿长及部门主管领导组成，日常工作由安环部兼管。发生重大事故时，以公司环境应急领导小组为基础，即总经理任指挥长，副经理为副指挥长，负责应急救援工作的组织和指挥，指挥部设在总经理办公室。</w:t>
      </w:r>
    </w:p>
    <w:p>
      <w:pPr>
        <w:pStyle w:val="19"/>
        <w:ind w:firstLine="482" w:firstLineChars="200"/>
        <w:rPr>
          <w:b/>
          <w:bCs/>
        </w:rPr>
      </w:pPr>
      <w:bookmarkStart w:id="328" w:name="_Toc242849927"/>
      <w:bookmarkStart w:id="329" w:name="_Toc246239563"/>
      <w:bookmarkStart w:id="330" w:name="_Toc194051902"/>
      <w:bookmarkStart w:id="331" w:name="_Toc286324571"/>
      <w:bookmarkStart w:id="332" w:name="_Toc243217987"/>
      <w:bookmarkStart w:id="333" w:name="_Toc241053017"/>
      <w:r>
        <w:rPr>
          <w:rFonts w:hint="eastAsia"/>
          <w:b/>
          <w:bCs/>
          <w:lang w:val="en-US" w:eastAsia="zh-CN"/>
        </w:rPr>
        <w:t>二、</w:t>
      </w:r>
      <w:r>
        <w:rPr>
          <w:b/>
          <w:bCs/>
        </w:rPr>
        <w:t>环境应急工作组职责</w:t>
      </w:r>
      <w:bookmarkEnd w:id="328"/>
      <w:bookmarkEnd w:id="329"/>
      <w:bookmarkEnd w:id="330"/>
      <w:bookmarkEnd w:id="331"/>
      <w:bookmarkEnd w:id="332"/>
      <w:bookmarkEnd w:id="333"/>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环境应急工作组负责现场所需抢险物资的搬运及现场抢救工作，做好各小队之间的协调配合工作。迅速、有效地实施先期处置，全力控制事故灾难发展态势，防止次生、衍生和耦合事故（事件）发生，果断控制或切断事故灾害链。</w:t>
      </w:r>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提前组织相关人员对环境安全事故应急预案的培训学习。通过认真学习演习，了解熟知应急的程序、内容、操作方法等，使各个小组成员熟悉掌握环境污染事故应急预案的作用与职责，</w:t>
      </w:r>
      <w:r>
        <w:rPr>
          <w:rFonts w:hint="eastAsia" w:ascii="Times New Roman" w:hAnsi="Times New Roman" w:cs="Times New Roman"/>
          <w:color w:val="auto"/>
          <w:sz w:val="24"/>
          <w:lang w:eastAsia="zh-CN"/>
        </w:rPr>
        <w:t>熟识企业</w:t>
      </w:r>
      <w:r>
        <w:rPr>
          <w:rFonts w:hint="default" w:ascii="Times New Roman" w:hAnsi="Times New Roman" w:cs="Times New Roman"/>
          <w:color w:val="auto"/>
          <w:sz w:val="24"/>
          <w:lang w:eastAsia="zh-CN"/>
        </w:rPr>
        <w:t>污染物</w:t>
      </w:r>
      <w:r>
        <w:rPr>
          <w:rFonts w:hint="eastAsia" w:ascii="Times New Roman" w:hAnsi="Times New Roman" w:cs="Times New Roman"/>
          <w:color w:val="auto"/>
          <w:sz w:val="24"/>
          <w:lang w:eastAsia="zh-CN"/>
        </w:rPr>
        <w:t>类型、</w:t>
      </w:r>
      <w:r>
        <w:rPr>
          <w:rFonts w:hint="default" w:ascii="Times New Roman" w:hAnsi="Times New Roman" w:cs="Times New Roman"/>
          <w:color w:val="auto"/>
          <w:sz w:val="24"/>
          <w:lang w:eastAsia="zh-CN"/>
        </w:rPr>
        <w:t>环境危险源的位置、发生事故的可能性，并能鉴别异常情况的危险性</w:t>
      </w:r>
      <w:r>
        <w:rPr>
          <w:rFonts w:hint="eastAsia" w:ascii="Times New Roman" w:hAnsi="Times New Roman" w:cs="Times New Roman"/>
          <w:color w:val="auto"/>
          <w:sz w:val="24"/>
          <w:lang w:eastAsia="zh-CN"/>
        </w:rPr>
        <w:t>，</w:t>
      </w:r>
      <w:r>
        <w:rPr>
          <w:rFonts w:hint="default" w:ascii="Times New Roman" w:hAnsi="Times New Roman" w:cs="Times New Roman"/>
          <w:color w:val="auto"/>
          <w:sz w:val="24"/>
          <w:lang w:eastAsia="zh-CN"/>
        </w:rPr>
        <w:t>及各类污染物的危害性；了解周围环境敏感点的位置、数量、类型，及污染事故可能对其产生的影响；掌握生产工艺过程中可能</w:t>
      </w:r>
      <w:r>
        <w:rPr>
          <w:rFonts w:hint="eastAsia" w:ascii="Times New Roman" w:hAnsi="Times New Roman" w:cs="Times New Roman"/>
          <w:color w:val="auto"/>
          <w:sz w:val="24"/>
          <w:lang w:eastAsia="zh-CN"/>
        </w:rPr>
        <w:t>出现的环境污染事故</w:t>
      </w:r>
      <w:r>
        <w:rPr>
          <w:rFonts w:hint="default" w:ascii="Times New Roman" w:hAnsi="Times New Roman" w:cs="Times New Roman"/>
          <w:color w:val="auto"/>
          <w:sz w:val="24"/>
          <w:lang w:eastAsia="zh-CN"/>
        </w:rPr>
        <w:t>的解决方案；掌握控险、排险、堵漏、转输的基本方法，防止污染物扩散；熟悉主要消防器材、防护设备等的位置及使用方法；熟知如何正确报警</w:t>
      </w:r>
      <w:r>
        <w:rPr>
          <w:rFonts w:hint="eastAsia" w:ascii="Times New Roman" w:hAnsi="Times New Roman" w:cs="Times New Roman"/>
          <w:color w:val="auto"/>
          <w:sz w:val="24"/>
          <w:lang w:eastAsia="zh-CN"/>
        </w:rPr>
        <w:t>及常用</w:t>
      </w:r>
      <w:r>
        <w:rPr>
          <w:rFonts w:hint="default" w:ascii="Times New Roman" w:hAnsi="Times New Roman" w:cs="Times New Roman"/>
          <w:color w:val="auto"/>
          <w:sz w:val="24"/>
          <w:lang w:eastAsia="zh-CN"/>
        </w:rPr>
        <w:t>内、外部</w:t>
      </w:r>
      <w:r>
        <w:rPr>
          <w:rFonts w:hint="eastAsia" w:ascii="Times New Roman" w:hAnsi="Times New Roman" w:cs="Times New Roman"/>
          <w:color w:val="auto"/>
          <w:sz w:val="24"/>
          <w:lang w:eastAsia="zh-CN"/>
        </w:rPr>
        <w:t>报警</w:t>
      </w:r>
      <w:r>
        <w:rPr>
          <w:rFonts w:hint="default" w:ascii="Times New Roman" w:hAnsi="Times New Roman" w:cs="Times New Roman"/>
          <w:color w:val="auto"/>
          <w:sz w:val="24"/>
          <w:lang w:eastAsia="zh-CN"/>
        </w:rPr>
        <w:t>电话</w:t>
      </w:r>
      <w:r>
        <w:rPr>
          <w:rFonts w:hint="eastAsia" w:ascii="Times New Roman" w:hAnsi="Times New Roman" w:cs="Times New Roman"/>
          <w:color w:val="auto"/>
          <w:sz w:val="24"/>
          <w:lang w:eastAsia="zh-CN"/>
        </w:rPr>
        <w:t>，</w:t>
      </w:r>
      <w:r>
        <w:rPr>
          <w:rFonts w:hint="default" w:ascii="Times New Roman" w:hAnsi="Times New Roman" w:cs="Times New Roman"/>
          <w:color w:val="auto"/>
          <w:sz w:val="24"/>
          <w:lang w:eastAsia="zh-CN"/>
        </w:rPr>
        <w:t>编制内、外部电话清单并张贴在醒目的位置；了解熟知应急人员的基本任务及责任、污染治理设施的运行要求、可能产生的环境污染事故等方面的内容。</w:t>
      </w:r>
      <w:bookmarkStart w:id="334" w:name="_Toc246239565"/>
      <w:bookmarkStart w:id="335" w:name="_Toc242849929"/>
      <w:bookmarkStart w:id="336" w:name="_Toc243217989"/>
      <w:bookmarkStart w:id="337" w:name="_Toc241053019"/>
      <w:bookmarkStart w:id="338" w:name="_Toc286324573"/>
      <w:bookmarkStart w:id="339" w:name="_Toc194051904"/>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环境应急工作组</w:t>
      </w:r>
      <w:bookmarkEnd w:id="334"/>
      <w:bookmarkEnd w:id="335"/>
      <w:bookmarkEnd w:id="336"/>
      <w:bookmarkEnd w:id="337"/>
      <w:bookmarkEnd w:id="338"/>
      <w:bookmarkEnd w:id="339"/>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（1）抢险救援队职责：执行领导小组的命令、决定，并根据其精神，结合事故现场实际情况，按照应急预案认真协调实施事故发生环节的救援抢险工作，防止事故的扩大蔓延，力求将损失降低至最低。</w:t>
      </w:r>
      <w:r>
        <w:rPr>
          <w:rFonts w:hint="eastAsia" w:ascii="Times New Roman" w:hAnsi="Times New Roman" w:cs="Times New Roman"/>
          <w:color w:val="auto"/>
          <w:sz w:val="24"/>
          <w:lang w:eastAsia="zh-CN"/>
        </w:rPr>
        <w:t>并</w:t>
      </w:r>
      <w:r>
        <w:rPr>
          <w:rFonts w:hint="default" w:ascii="Times New Roman" w:hAnsi="Times New Roman" w:cs="Times New Roman"/>
          <w:color w:val="auto"/>
          <w:sz w:val="24"/>
          <w:lang w:eastAsia="zh-CN"/>
        </w:rPr>
        <w:t>负责</w:t>
      </w:r>
      <w:r>
        <w:rPr>
          <w:rFonts w:hint="eastAsia" w:ascii="Times New Roman" w:hAnsi="Times New Roman" w:cs="Times New Roman"/>
          <w:color w:val="auto"/>
          <w:sz w:val="24"/>
          <w:lang w:eastAsia="zh-CN"/>
        </w:rPr>
        <w:t>应急响应结束后，配合信息联络员对事故</w:t>
      </w:r>
      <w:r>
        <w:rPr>
          <w:rFonts w:hint="default" w:ascii="Times New Roman" w:hAnsi="Times New Roman" w:cs="Times New Roman"/>
          <w:color w:val="auto"/>
          <w:sz w:val="24"/>
          <w:lang w:eastAsia="zh-CN"/>
        </w:rPr>
        <w:t>的现场调查、组织事故分析和事故的上报。</w:t>
      </w:r>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（2）物资保障和运输队职责：负责实施应急设备和所需物资的供应配发，保障现场抢险和抢险物资的供给和运输用车。随叫随到，不能有误；</w:t>
      </w:r>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w:t>
      </w:r>
      <w:r>
        <w:rPr>
          <w:rFonts w:hint="eastAsia" w:ascii="Times New Roman" w:hAnsi="Times New Roman" w:cs="Times New Roman"/>
          <w:color w:val="auto"/>
          <w:sz w:val="24"/>
          <w:lang w:eastAsia="zh-CN"/>
        </w:rPr>
        <w:t>3</w:t>
      </w:r>
      <w:r>
        <w:rPr>
          <w:rFonts w:hint="default" w:ascii="Times New Roman" w:hAnsi="Times New Roman" w:cs="Times New Roman"/>
          <w:color w:val="auto"/>
          <w:sz w:val="24"/>
          <w:lang w:eastAsia="zh-CN"/>
        </w:rPr>
        <w:t>）安全保卫队职责：负责在险情发生时，安全疏散人员，同时隔离现场，设置危险警示标志，严格限制无关人员出入。</w:t>
      </w:r>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w:t>
      </w:r>
      <w:r>
        <w:rPr>
          <w:rFonts w:hint="eastAsia" w:ascii="Times New Roman" w:hAnsi="Times New Roman" w:cs="Times New Roman"/>
          <w:color w:val="auto"/>
          <w:sz w:val="24"/>
          <w:lang w:eastAsia="zh-CN"/>
        </w:rPr>
        <w:t>4</w:t>
      </w:r>
      <w:r>
        <w:rPr>
          <w:rFonts w:hint="default" w:ascii="Times New Roman" w:hAnsi="Times New Roman" w:cs="Times New Roman"/>
          <w:color w:val="auto"/>
          <w:sz w:val="24"/>
          <w:lang w:eastAsia="zh-CN"/>
        </w:rPr>
        <w:t>）医疗救护队职责：负责指挥抢险现场受伤人员的救助和对重伤员的转治，保障抢险人员人身安全。</w:t>
      </w:r>
    </w:p>
    <w:p>
      <w:pPr>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w:t>
      </w:r>
      <w:r>
        <w:rPr>
          <w:rFonts w:hint="eastAsia" w:ascii="Times New Roman" w:hAnsi="Times New Roman" w:cs="Times New Roman"/>
          <w:color w:val="auto"/>
          <w:sz w:val="24"/>
          <w:lang w:eastAsia="zh-CN"/>
        </w:rPr>
        <w:t>5</w:t>
      </w:r>
      <w:r>
        <w:rPr>
          <w:rFonts w:hint="default" w:ascii="Times New Roman" w:hAnsi="Times New Roman" w:cs="Times New Roman"/>
          <w:color w:val="auto"/>
          <w:sz w:val="24"/>
          <w:lang w:eastAsia="zh-CN"/>
        </w:rPr>
        <w:t>）环境监测队职责：负责事故可能污染到范围内的环境监测（水环境、空气环境或地面固体废物环境污染）并按照规定随时上报。</w:t>
      </w:r>
    </w:p>
    <w:p>
      <w:pPr>
        <w:ind w:firstLine="480" w:firstLineChars="200"/>
        <w:rPr>
          <w:rFonts w:hint="default" w:ascii="Times New Roman" w:hAnsi="Times New Roman" w:cs="Times New Roman"/>
          <w:color w:val="auto"/>
          <w:sz w:val="24"/>
          <w:lang w:eastAsia="zh-CN"/>
        </w:rPr>
      </w:pPr>
      <w:bookmarkStart w:id="340" w:name="_Toc286324574"/>
      <w:bookmarkStart w:id="341" w:name="_Toc246239566"/>
      <w:bookmarkStart w:id="342" w:name="_Toc194051905"/>
      <w:r>
        <w:rPr>
          <w:rFonts w:hint="default" w:ascii="Times New Roman" w:hAnsi="Times New Roman" w:cs="Times New Roman"/>
          <w:color w:val="auto"/>
          <w:sz w:val="24"/>
          <w:lang w:eastAsia="zh-CN"/>
        </w:rPr>
        <w:t>外部应急救援</w:t>
      </w:r>
      <w:bookmarkEnd w:id="340"/>
      <w:bookmarkEnd w:id="341"/>
      <w:bookmarkEnd w:id="342"/>
    </w:p>
    <w:p>
      <w:pPr>
        <w:ind w:firstLine="480" w:firstLineChars="200"/>
        <w:rPr>
          <w:rFonts w:hAnsi="宋体"/>
          <w:b/>
          <w:color w:val="auto"/>
          <w:sz w:val="21"/>
          <w:szCs w:val="21"/>
        </w:rPr>
      </w:pPr>
      <w:r>
        <w:rPr>
          <w:rFonts w:hint="eastAsia" w:ascii="Times New Roman" w:hAnsi="Times New Roman" w:cs="Times New Roman"/>
          <w:color w:val="auto"/>
          <w:sz w:val="24"/>
          <w:lang w:eastAsia="zh-CN"/>
        </w:rPr>
        <w:t>企业</w:t>
      </w:r>
      <w:r>
        <w:rPr>
          <w:rFonts w:hint="default" w:ascii="Times New Roman" w:hAnsi="Times New Roman" w:cs="Times New Roman"/>
          <w:color w:val="auto"/>
          <w:sz w:val="24"/>
          <w:lang w:eastAsia="zh-CN"/>
        </w:rPr>
        <w:t>应急预案机构组织：应急预案机构组织设置由指挥长、政府部门、镇医院等单位组成。各部门在应急中的位置设置详见</w:t>
      </w:r>
      <w:r>
        <w:rPr>
          <w:rFonts w:hint="eastAsia" w:ascii="Times New Roman" w:hAnsi="Times New Roman" w:cs="Times New Roman"/>
          <w:color w:val="auto"/>
          <w:sz w:val="24"/>
          <w:lang w:eastAsia="zh-CN"/>
        </w:rPr>
        <w:t>环境应急组织机构</w:t>
      </w:r>
      <w:r>
        <w:rPr>
          <w:rFonts w:hint="default" w:ascii="Times New Roman" w:hAnsi="Times New Roman" w:cs="Times New Roman"/>
          <w:color w:val="auto"/>
          <w:sz w:val="24"/>
          <w:lang w:eastAsia="zh-CN"/>
        </w:rPr>
        <w:t>图。</w:t>
      </w:r>
    </w:p>
    <w:p>
      <w:pPr>
        <w:pStyle w:val="2"/>
        <w:rPr>
          <w:rFonts w:hint="eastAsia" w:eastAsia="宋体"/>
          <w:color w:val="FF0000"/>
          <w:lang w:eastAsia="zh-CN"/>
        </w:rPr>
      </w:pPr>
      <w:r>
        <w:rPr>
          <w:rFonts w:hint="eastAsia" w:eastAsia="宋体"/>
          <w:color w:val="FF0000"/>
          <w:lang w:eastAsia="zh-CN"/>
        </w:rPr>
        <w:drawing>
          <wp:inline distT="0" distB="0" distL="114300" distR="114300">
            <wp:extent cx="5259705" cy="3466465"/>
            <wp:effectExtent l="0" t="0" r="0" b="635"/>
            <wp:docPr id="200" name="图片 200" descr="ZLZF_[]VGRP%]KNC0$B77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ZLZF_[]VGRP%]KNC0$B775B"/>
                    <pic:cNvPicPr>
                      <a:picLocks noChangeAspect="1"/>
                    </pic:cNvPicPr>
                  </pic:nvPicPr>
                  <pic:blipFill>
                    <a:blip r:embed="rId36"/>
                    <a:srcRect l="-17248" t="-330" r="-8845" b="330"/>
                    <a:stretch>
                      <a:fillRect/>
                    </a:stretch>
                  </pic:blipFill>
                  <pic:spPr>
                    <a:xfrm>
                      <a:off x="0" y="0"/>
                      <a:ext cx="5259705" cy="3466465"/>
                    </a:xfrm>
                    <a:prstGeom prst="rect">
                      <a:avLst/>
                    </a:prstGeom>
                  </pic:spPr>
                </pic:pic>
              </a:graphicData>
            </a:graphic>
          </wp:inline>
        </w:drawing>
      </w:r>
      <w:bookmarkStart w:id="343" w:name="_Toc194051906"/>
      <w:bookmarkStart w:id="344" w:name="_Toc286324575"/>
      <w:bookmarkStart w:id="345" w:name="_Toc246062338"/>
      <w:bookmarkStart w:id="346" w:name="_Toc239647118"/>
      <w:bookmarkStart w:id="347" w:name="_Toc225675775"/>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Ansi="宋体"/>
          <w:b/>
          <w:color w:val="auto"/>
          <w:sz w:val="21"/>
          <w:szCs w:val="21"/>
        </w:rPr>
      </w:pPr>
      <w:r>
        <w:rPr>
          <w:rFonts w:hAnsi="宋体"/>
          <w:b/>
          <w:color w:val="auto"/>
          <w:sz w:val="21"/>
          <w:szCs w:val="21"/>
        </w:rPr>
        <w:t>环境应急预案组织机构设置图</w:t>
      </w:r>
    </w:p>
    <w:p>
      <w:pPr>
        <w:pStyle w:val="5"/>
        <w:rPr>
          <w:rFonts w:hint="eastAsia"/>
        </w:rPr>
      </w:pPr>
      <w:r>
        <w:rPr>
          <w:rFonts w:hint="eastAsia"/>
          <w:lang w:val="en-US" w:eastAsia="zh-CN"/>
        </w:rPr>
        <w:t>8.8.3</w:t>
      </w:r>
      <w:r>
        <w:rPr>
          <w:rFonts w:hint="eastAsia"/>
        </w:rPr>
        <w:t>应急</w:t>
      </w:r>
      <w:r>
        <w:t>保障</w:t>
      </w:r>
      <w:bookmarkEnd w:id="343"/>
      <w:bookmarkEnd w:id="344"/>
      <w:bookmarkEnd w:id="345"/>
      <w:bookmarkEnd w:id="346"/>
      <w:bookmarkEnd w:id="347"/>
    </w:p>
    <w:p>
      <w:pPr>
        <w:ind w:firstLine="480" w:firstLineChars="200"/>
      </w:pPr>
      <w:r>
        <w:t>应急抢险必须要有一定的资金、物资、人员、通讯顺畅等方方面面的保障。保障措施到位是抢险救援快速准确实现的基本条件。本企业的应急保障措施主要有：通讯与信息保障、资金</w:t>
      </w:r>
      <w:r>
        <w:rPr>
          <w:rFonts w:hint="eastAsia"/>
          <w:lang w:eastAsia="zh-CN"/>
        </w:rPr>
        <w:t>和物资</w:t>
      </w:r>
      <w:r>
        <w:t>保障、人力资源及技术保障和</w:t>
      </w:r>
      <w:r>
        <w:rPr>
          <w:rFonts w:hint="eastAsia"/>
          <w:lang w:eastAsia="zh-CN"/>
        </w:rPr>
        <w:t>应急能力</w:t>
      </w:r>
      <w:r>
        <w:t>保障等四个方面。</w:t>
      </w:r>
      <w:bookmarkStart w:id="348" w:name="_Toc241053021"/>
      <w:bookmarkStart w:id="349" w:name="_Toc242849931"/>
      <w:bookmarkStart w:id="350" w:name="_Toc286324576"/>
      <w:bookmarkStart w:id="351" w:name="_Toc246239568"/>
      <w:bookmarkStart w:id="352" w:name="_Toc194051907"/>
      <w:bookmarkStart w:id="353" w:name="_Toc225675776"/>
      <w:bookmarkStart w:id="354" w:name="_Toc243217991"/>
    </w:p>
    <w:p>
      <w:pPr>
        <w:ind w:firstLine="480" w:firstLineChars="200"/>
      </w:pPr>
      <w:r>
        <w:rPr>
          <w:rFonts w:hint="eastAsia"/>
          <w:lang w:eastAsia="zh-CN"/>
        </w:rPr>
        <w:t>（</w:t>
      </w:r>
      <w:r>
        <w:rPr>
          <w:rFonts w:hint="eastAsia"/>
          <w:lang w:val="en-US" w:eastAsia="zh-CN"/>
        </w:rPr>
        <w:t>1</w:t>
      </w:r>
      <w:r>
        <w:rPr>
          <w:rFonts w:hint="eastAsia"/>
          <w:lang w:eastAsia="zh-CN"/>
        </w:rPr>
        <w:t>）</w:t>
      </w:r>
      <w:r>
        <w:t>通讯与信息保障</w:t>
      </w:r>
      <w:bookmarkEnd w:id="348"/>
      <w:bookmarkEnd w:id="349"/>
      <w:bookmarkEnd w:id="350"/>
      <w:bookmarkEnd w:id="351"/>
      <w:bookmarkEnd w:id="352"/>
      <w:bookmarkEnd w:id="353"/>
      <w:bookmarkEnd w:id="354"/>
    </w:p>
    <w:p>
      <w:pPr>
        <w:ind w:firstLine="480" w:firstLineChars="200"/>
      </w:pPr>
      <w:r>
        <w:t>信息的及时传递对应急抢险顺利进行是非常必要的，因此，企业必须做好通信与信息的保障工作。</w:t>
      </w:r>
    </w:p>
    <w:p>
      <w:pPr>
        <w:ind w:firstLine="480" w:firstLineChars="200"/>
      </w:pPr>
      <w:r>
        <w:t>通讯与信息保障主要由安全保卫队负责，要建立通信系统维护以及信息采集等制度，明确参与应急活动的所有部门通讯方式，分级联系方式，并提供备用方案和通讯录，配备必要的有线、无线通信器材（如手机、有线电话等），确保本预案启动时各应急部门之间的联络畅通。</w:t>
      </w:r>
      <w:bookmarkStart w:id="355" w:name="_Toc194051908"/>
      <w:bookmarkStart w:id="356" w:name="_Toc246239569"/>
      <w:bookmarkStart w:id="357" w:name="_Toc242849932"/>
      <w:bookmarkStart w:id="358" w:name="_Toc286324577"/>
      <w:bookmarkStart w:id="359" w:name="_Toc243217992"/>
      <w:bookmarkStart w:id="360" w:name="_Toc241053022"/>
      <w:bookmarkStart w:id="361" w:name="_Toc225675777"/>
    </w:p>
    <w:p>
      <w:pPr>
        <w:ind w:firstLine="480" w:firstLineChars="200"/>
        <w:rPr>
          <w:rFonts w:hint="eastAsia"/>
        </w:rPr>
      </w:pPr>
      <w:r>
        <w:rPr>
          <w:rFonts w:hint="eastAsia"/>
          <w:lang w:eastAsia="zh-CN"/>
        </w:rPr>
        <w:t>（</w:t>
      </w:r>
      <w:r>
        <w:rPr>
          <w:rFonts w:hint="eastAsia"/>
          <w:lang w:val="en-US" w:eastAsia="zh-CN"/>
        </w:rPr>
        <w:t>2</w:t>
      </w:r>
      <w:r>
        <w:rPr>
          <w:rFonts w:hint="eastAsia"/>
          <w:lang w:eastAsia="zh-CN"/>
        </w:rPr>
        <w:t>）</w:t>
      </w:r>
      <w:r>
        <w:t>资金</w:t>
      </w:r>
      <w:bookmarkEnd w:id="355"/>
      <w:bookmarkEnd w:id="356"/>
      <w:bookmarkEnd w:id="357"/>
      <w:bookmarkEnd w:id="358"/>
      <w:bookmarkEnd w:id="359"/>
      <w:bookmarkEnd w:id="360"/>
      <w:bookmarkEnd w:id="361"/>
      <w:r>
        <w:rPr>
          <w:rFonts w:hint="eastAsia"/>
        </w:rPr>
        <w:t>和物资保障</w:t>
      </w:r>
    </w:p>
    <w:p>
      <w:pPr>
        <w:ind w:firstLine="480" w:firstLineChars="200"/>
      </w:pPr>
      <w:r>
        <w:t>企业应做好事故预防预警及应急救援所必须的资金储备。主要由环境应急工作领导小组负责组织储备。应急经费按《财政应急保障预案》规定纳入每年的企业预算，装备量应严格按《财政应急保障预案》比例执行，确保应急预案启动之后，能够满足现场救援所需。（包括物资以及受灾人员的妥善安置等）。</w:t>
      </w:r>
      <w:bookmarkStart w:id="362" w:name="_Toc286324578"/>
      <w:bookmarkStart w:id="363" w:name="_Toc194051909"/>
      <w:bookmarkStart w:id="364" w:name="_Toc239647121"/>
      <w:bookmarkStart w:id="365" w:name="_Toc246062341"/>
      <w:bookmarkStart w:id="366" w:name="_Toc225675778"/>
    </w:p>
    <w:p>
      <w:pPr>
        <w:ind w:firstLine="480" w:firstLineChars="200"/>
      </w:pPr>
      <w:r>
        <w:rPr>
          <w:rFonts w:hint="eastAsia"/>
          <w:lang w:eastAsia="zh-CN"/>
        </w:rPr>
        <w:t>（</w:t>
      </w:r>
      <w:r>
        <w:rPr>
          <w:rFonts w:hint="eastAsia"/>
          <w:lang w:val="en-US" w:eastAsia="zh-CN"/>
        </w:rPr>
        <w:t>3</w:t>
      </w:r>
      <w:r>
        <w:rPr>
          <w:rFonts w:hint="eastAsia"/>
          <w:lang w:eastAsia="zh-CN"/>
        </w:rPr>
        <w:t>）</w:t>
      </w:r>
      <w:r>
        <w:t>人力资源及技术保障</w:t>
      </w:r>
      <w:bookmarkEnd w:id="362"/>
      <w:bookmarkEnd w:id="363"/>
      <w:bookmarkEnd w:id="364"/>
      <w:bookmarkEnd w:id="365"/>
      <w:bookmarkEnd w:id="366"/>
    </w:p>
    <w:p>
      <w:pPr>
        <w:ind w:firstLine="480" w:firstLineChars="200"/>
        <w:rPr>
          <w:rFonts w:hint="eastAsia"/>
        </w:rPr>
      </w:pPr>
      <w:r>
        <w:t>企业要依据自身条件和可能发生的突发环境事件的类型建立应急救援专业队伍。包括：抢险救援队、物资保障队、环境监测队、通讯联络队、疏散隔离队、医疗救护队和善后处理队等专业救援队伍，配备先进技术装备，并明确各专业救援队伍的具体职责和任务，定期对各救援队伍进行专业培训、演习。以便在发生环境污染事故时，在指挥部的统一指挥下，快速、有序、有效地开展应急救援行动以尽快处置事故，使事故的危害降到最低。</w:t>
      </w:r>
      <w:r>
        <w:rPr>
          <w:rFonts w:hint="eastAsia"/>
        </w:rPr>
        <w:t>结合企业实际情况本企业设置有</w:t>
      </w:r>
      <w:r>
        <w:t>抢险救援队、物资保障队、环境监测队、疏散隔离</w:t>
      </w:r>
      <w:r>
        <w:rPr>
          <w:rFonts w:hint="eastAsia"/>
        </w:rPr>
        <w:t>及安全保卫</w:t>
      </w:r>
      <w:r>
        <w:t>队和医疗救护队等专业救援队伍</w:t>
      </w:r>
      <w:r>
        <w:rPr>
          <w:rFonts w:hint="eastAsia"/>
        </w:rPr>
        <w:t>，并定期开展应急演习及演练活动。</w:t>
      </w:r>
    </w:p>
    <w:p>
      <w:pPr>
        <w:ind w:firstLine="480" w:firstLineChars="200"/>
      </w:pPr>
      <w:r>
        <w:rPr>
          <w:rFonts w:hint="eastAsia"/>
          <w:lang w:eastAsia="zh-CN"/>
        </w:rPr>
        <w:t>（</w:t>
      </w:r>
      <w:r>
        <w:rPr>
          <w:rFonts w:hint="eastAsia"/>
          <w:lang w:val="en-US" w:eastAsia="zh-CN"/>
        </w:rPr>
        <w:t>4</w:t>
      </w:r>
      <w:r>
        <w:rPr>
          <w:rFonts w:hint="eastAsia"/>
          <w:lang w:eastAsia="zh-CN"/>
        </w:rPr>
        <w:t>）</w:t>
      </w:r>
      <w:r>
        <w:t>应急能力保障</w:t>
      </w:r>
    </w:p>
    <w:p>
      <w:pPr>
        <w:ind w:firstLine="480" w:firstLineChars="200"/>
        <w:rPr>
          <w:rFonts w:hint="eastAsia"/>
        </w:rPr>
      </w:pPr>
      <w:r>
        <w:t>为保障环境应急体系始终处于良好的</w:t>
      </w:r>
      <w:r>
        <w:rPr>
          <w:rFonts w:hint="eastAsia"/>
        </w:rPr>
        <w:t>备</w:t>
      </w:r>
      <w:r>
        <w:t>战状态，企业要对</w:t>
      </w:r>
      <w:r>
        <w:rPr>
          <w:rFonts w:hint="eastAsia"/>
        </w:rPr>
        <w:t>各个抢险救援小组</w:t>
      </w:r>
      <w:r>
        <w:t>的制度设置情况和工作程序的建立与执行情况、人员培训与考核情况、应急装备和经费储备的管理与使用情况等方面，在环境应急能力评价体系中建立定期的、自上而下的监督、检查和考核机制。</w:t>
      </w:r>
    </w:p>
    <w:p>
      <w:pPr>
        <w:ind w:firstLine="480" w:firstLineChars="200"/>
      </w:pPr>
      <w:r>
        <w:t>企业</w:t>
      </w:r>
      <w:r>
        <w:rPr>
          <w:rFonts w:hint="eastAsia"/>
        </w:rPr>
        <w:t>制定了一系列的环保管理规程，且在日常生产中</w:t>
      </w:r>
      <w:r>
        <w:t>设有环保</w:t>
      </w:r>
      <w:r>
        <w:rPr>
          <w:rFonts w:hint="eastAsia"/>
        </w:rPr>
        <w:t>领导小组</w:t>
      </w:r>
      <w:r>
        <w:t>，负责该</w:t>
      </w:r>
      <w:r>
        <w:rPr>
          <w:rFonts w:hint="eastAsia"/>
        </w:rPr>
        <w:t>企业</w:t>
      </w:r>
      <w:r>
        <w:t>生产中涉及的环境</w:t>
      </w:r>
      <w:r>
        <w:rPr>
          <w:rFonts w:hint="eastAsia"/>
        </w:rPr>
        <w:t>保护</w:t>
      </w:r>
      <w:r>
        <w:t>工作</w:t>
      </w:r>
      <w:r>
        <w:rPr>
          <w:rFonts w:hint="eastAsia"/>
        </w:rPr>
        <w:t>，切实把环境保护制度落到实处。树立“</w:t>
      </w:r>
      <w:r>
        <w:t>预防为主，防胜于治</w:t>
      </w:r>
      <w:r>
        <w:rPr>
          <w:rFonts w:hint="eastAsia"/>
        </w:rPr>
        <w:t>”</w:t>
      </w:r>
      <w:r>
        <w:t>的风险事故防范思想，把环保指标纳入考核内容，明确指标、奖惩分明，力求做到防患于未然。</w:t>
      </w:r>
    </w:p>
    <w:p>
      <w:pPr>
        <w:pStyle w:val="5"/>
      </w:pPr>
      <w:bookmarkStart w:id="367" w:name="_Toc194051910"/>
      <w:r>
        <w:rPr>
          <w:rFonts w:hint="eastAsia"/>
          <w:lang w:val="en-US" w:eastAsia="zh-CN"/>
        </w:rPr>
        <w:t>8.8.4</w:t>
      </w:r>
      <w:r>
        <w:rPr>
          <w:rFonts w:hint="eastAsia"/>
        </w:rPr>
        <w:t>应急培训与演习</w:t>
      </w:r>
      <w:bookmarkEnd w:id="367"/>
    </w:p>
    <w:p>
      <w:pPr>
        <w:ind w:firstLine="482" w:firstLineChars="200"/>
        <w:jc w:val="left"/>
        <w:rPr>
          <w:rFonts w:hint="eastAsia"/>
          <w:b/>
          <w:bCs/>
          <w:color w:val="auto"/>
          <w:sz w:val="24"/>
          <w:szCs w:val="24"/>
        </w:rPr>
      </w:pPr>
      <w:r>
        <w:rPr>
          <w:rFonts w:hint="eastAsia"/>
          <w:b/>
          <w:bCs/>
          <w:color w:val="auto"/>
          <w:sz w:val="24"/>
          <w:szCs w:val="24"/>
          <w:lang w:eastAsia="zh-CN"/>
        </w:rPr>
        <w:t>一、</w:t>
      </w:r>
      <w:r>
        <w:rPr>
          <w:rFonts w:hint="eastAsia"/>
          <w:b/>
          <w:bCs/>
          <w:color w:val="auto"/>
          <w:sz w:val="24"/>
          <w:szCs w:val="24"/>
        </w:rPr>
        <w:t>应急培训</w:t>
      </w:r>
    </w:p>
    <w:p>
      <w:pPr>
        <w:ind w:firstLine="482" w:firstLineChars="200"/>
        <w:rPr>
          <w:rFonts w:hint="eastAsia"/>
          <w:b/>
          <w:bCs/>
        </w:rPr>
      </w:pPr>
      <w:r>
        <w:rPr>
          <w:rFonts w:hint="eastAsia"/>
          <w:b/>
          <w:bCs/>
        </w:rPr>
        <w:t>培训目的</w:t>
      </w:r>
    </w:p>
    <w:p>
      <w:pPr>
        <w:ind w:firstLine="480" w:firstLineChars="200"/>
        <w:rPr>
          <w:rFonts w:hint="eastAsia"/>
        </w:rPr>
      </w:pPr>
      <w:r>
        <w:rPr>
          <w:rFonts w:hint="eastAsia"/>
        </w:rPr>
        <w:t>保证所有应急队员都能接受有效的应急培训，使他们熟悉报警，疏散路线，安全躲避场所等。</w:t>
      </w:r>
    </w:p>
    <w:p>
      <w:pPr>
        <w:ind w:firstLine="482" w:firstLineChars="200"/>
        <w:rPr>
          <w:rFonts w:hint="eastAsia"/>
          <w:b/>
          <w:bCs/>
        </w:rPr>
      </w:pPr>
      <w:r>
        <w:rPr>
          <w:rFonts w:hint="eastAsia"/>
          <w:b/>
          <w:bCs/>
        </w:rPr>
        <w:t>基本任务</w:t>
      </w:r>
    </w:p>
    <w:p>
      <w:pPr>
        <w:ind w:firstLine="480" w:firstLineChars="200"/>
        <w:rPr>
          <w:rFonts w:hint="eastAsia"/>
        </w:rPr>
      </w:pPr>
      <w:r>
        <w:rPr>
          <w:rFonts w:hint="eastAsia"/>
        </w:rPr>
        <w:t>锻炼和提高队伍在突发事故情况下的快速抢险堵源、及时营救伤员、正确指导和帮助群众防护或撤离、有效消除危害后果、开展现场急救和伤员转送等应急救援技能和应急反应综合素质，有效降低事故危害，减少事故损失。</w:t>
      </w:r>
    </w:p>
    <w:p>
      <w:pPr>
        <w:ind w:firstLine="482" w:firstLineChars="200"/>
        <w:rPr>
          <w:rFonts w:hint="eastAsia"/>
          <w:b/>
          <w:bCs/>
        </w:rPr>
      </w:pPr>
      <w:r>
        <w:rPr>
          <w:rFonts w:hint="eastAsia"/>
          <w:b/>
          <w:bCs/>
        </w:rPr>
        <w:t>培训和演练内容</w:t>
      </w:r>
    </w:p>
    <w:p>
      <w:pPr>
        <w:ind w:firstLine="480" w:firstLineChars="200"/>
        <w:rPr>
          <w:rFonts w:hint="eastAsia"/>
        </w:rPr>
      </w:pPr>
      <w:r>
        <w:rPr>
          <w:rFonts w:hint="eastAsia"/>
          <w:lang w:eastAsia="zh-CN"/>
        </w:rPr>
        <w:t>（</w:t>
      </w:r>
      <w:r>
        <w:rPr>
          <w:rFonts w:hint="eastAsia"/>
          <w:lang w:val="en-US" w:eastAsia="zh-CN"/>
        </w:rPr>
        <w:t>1</w:t>
      </w:r>
      <w:r>
        <w:rPr>
          <w:rFonts w:hint="eastAsia"/>
          <w:lang w:eastAsia="zh-CN"/>
        </w:rPr>
        <w:t>）</w:t>
      </w:r>
      <w:r>
        <w:rPr>
          <w:rFonts w:hint="eastAsia"/>
        </w:rPr>
        <w:t>日期、时间和地点：每年进行一次演练，地点选择生产或最低中段。</w:t>
      </w:r>
    </w:p>
    <w:p>
      <w:pPr>
        <w:ind w:firstLine="480" w:firstLineChars="200"/>
        <w:rPr>
          <w:rFonts w:hint="eastAsia"/>
        </w:rPr>
      </w:pPr>
      <w:r>
        <w:rPr>
          <w:rFonts w:hint="eastAsia"/>
          <w:lang w:eastAsia="zh-CN"/>
        </w:rPr>
        <w:t>（</w:t>
      </w:r>
      <w:r>
        <w:rPr>
          <w:rFonts w:hint="eastAsia"/>
          <w:lang w:val="en-US" w:eastAsia="zh-CN"/>
        </w:rPr>
        <w:t>2</w:t>
      </w:r>
      <w:r>
        <w:rPr>
          <w:rFonts w:hint="eastAsia"/>
          <w:lang w:eastAsia="zh-CN"/>
        </w:rPr>
        <w:t>）</w:t>
      </w:r>
      <w:r>
        <w:rPr>
          <w:rFonts w:hint="eastAsia"/>
        </w:rPr>
        <w:t>参加组织：应急救援小组。</w:t>
      </w:r>
    </w:p>
    <w:p>
      <w:pPr>
        <w:ind w:firstLine="480" w:firstLineChars="200"/>
        <w:rPr>
          <w:rFonts w:hint="eastAsia"/>
        </w:rPr>
      </w:pPr>
      <w:r>
        <w:rPr>
          <w:rFonts w:hint="eastAsia"/>
          <w:lang w:eastAsia="zh-CN"/>
        </w:rPr>
        <w:t>（</w:t>
      </w:r>
      <w:r>
        <w:rPr>
          <w:rFonts w:hint="eastAsia"/>
          <w:lang w:val="en-US" w:eastAsia="zh-CN"/>
        </w:rPr>
        <w:t>3</w:t>
      </w:r>
      <w:r>
        <w:rPr>
          <w:rFonts w:hint="eastAsia"/>
          <w:lang w:eastAsia="zh-CN"/>
        </w:rPr>
        <w:t>）</w:t>
      </w:r>
      <w:r>
        <w:rPr>
          <w:rFonts w:hint="eastAsia"/>
        </w:rPr>
        <w:t>对训练和演习进行适当的评价。</w:t>
      </w:r>
    </w:p>
    <w:p>
      <w:pPr>
        <w:ind w:firstLine="480" w:firstLineChars="200"/>
        <w:rPr>
          <w:rFonts w:hint="eastAsia"/>
        </w:rPr>
      </w:pPr>
      <w:r>
        <w:rPr>
          <w:rFonts w:hint="eastAsia"/>
          <w:lang w:eastAsia="zh-CN"/>
        </w:rPr>
        <w:t>（</w:t>
      </w:r>
      <w:r>
        <w:rPr>
          <w:rFonts w:hint="eastAsia"/>
          <w:lang w:val="en-US" w:eastAsia="zh-CN"/>
        </w:rPr>
        <w:t>4</w:t>
      </w:r>
      <w:r>
        <w:rPr>
          <w:rFonts w:hint="eastAsia"/>
          <w:lang w:eastAsia="zh-CN"/>
        </w:rPr>
        <w:t>）</w:t>
      </w:r>
      <w:r>
        <w:rPr>
          <w:rFonts w:hint="eastAsia"/>
        </w:rPr>
        <w:t>紧急情况下人员的安全疏散等。</w:t>
      </w:r>
    </w:p>
    <w:p>
      <w:pPr>
        <w:ind w:firstLine="482" w:firstLineChars="200"/>
        <w:rPr>
          <w:rFonts w:hint="eastAsia"/>
          <w:b/>
          <w:bCs/>
        </w:rPr>
      </w:pPr>
      <w:r>
        <w:rPr>
          <w:rFonts w:hint="eastAsia"/>
          <w:b/>
          <w:bCs/>
        </w:rPr>
        <w:t>培训目标</w:t>
      </w:r>
    </w:p>
    <w:p>
      <w:pPr>
        <w:ind w:firstLine="480" w:firstLineChars="200"/>
        <w:rPr>
          <w:rFonts w:hint="eastAsia"/>
        </w:rPr>
      </w:pPr>
      <w:r>
        <w:rPr>
          <w:rFonts w:hint="eastAsia"/>
        </w:rPr>
        <w:t>使应急救援人员熟悉反应预案和程序的实施内容和方式；培训他们在应急预案和程序中分派的任务；使有关人员知道应急反应预案和实施程序变动情况；让应急反应和组织各级人员保持高度准备性。</w:t>
      </w:r>
    </w:p>
    <w:p>
      <w:pPr>
        <w:ind w:firstLine="482" w:firstLineChars="200"/>
        <w:rPr>
          <w:rFonts w:hint="eastAsia"/>
          <w:b/>
          <w:bCs/>
        </w:rPr>
      </w:pPr>
      <w:r>
        <w:rPr>
          <w:rFonts w:hint="eastAsia"/>
          <w:b/>
          <w:bCs/>
        </w:rPr>
        <w:t>演练周期</w:t>
      </w:r>
    </w:p>
    <w:p>
      <w:pPr>
        <w:ind w:firstLine="480" w:firstLineChars="200"/>
        <w:rPr>
          <w:rFonts w:hint="eastAsia"/>
        </w:rPr>
      </w:pPr>
      <w:r>
        <w:rPr>
          <w:rFonts w:hint="eastAsia"/>
        </w:rPr>
        <w:t>安全科在矿长的领导下，以1年为周期对相关人员进行一次培训并予以记录。</w:t>
      </w:r>
    </w:p>
    <w:p>
      <w:pPr>
        <w:ind w:firstLine="482" w:firstLineChars="200"/>
        <w:rPr>
          <w:rFonts w:hint="eastAsia"/>
          <w:b/>
          <w:bCs/>
        </w:rPr>
      </w:pPr>
      <w:r>
        <w:rPr>
          <w:rFonts w:hint="eastAsia"/>
          <w:b/>
          <w:bCs/>
        </w:rPr>
        <w:t>培训要求</w:t>
      </w:r>
    </w:p>
    <w:p>
      <w:pPr>
        <w:ind w:firstLine="480" w:firstLineChars="200"/>
        <w:rPr>
          <w:rFonts w:hint="eastAsia"/>
        </w:rPr>
      </w:pPr>
      <w:r>
        <w:rPr>
          <w:rFonts w:hint="eastAsia"/>
        </w:rPr>
        <w:t>在应急预案中分配应急职能岗位要结合有关人员以往的经验、培训以及日常工作。因此担任应急反应组织某一职位的资格要求符合管理部门分派的职位特点并接受一定的培训。如下表所示：最低的应急反应培训要求。</w:t>
      </w:r>
    </w:p>
    <w:p>
      <w:pPr>
        <w:spacing w:line="360" w:lineRule="auto"/>
        <w:ind w:firstLine="482" w:firstLineChars="200"/>
        <w:jc w:val="left"/>
        <w:rPr>
          <w:rFonts w:hint="eastAsia"/>
          <w:b/>
          <w:bCs/>
          <w:color w:val="auto"/>
          <w:sz w:val="24"/>
          <w:szCs w:val="24"/>
        </w:rPr>
      </w:pPr>
      <w:r>
        <w:rPr>
          <w:rFonts w:hint="eastAsia"/>
          <w:b/>
          <w:bCs/>
          <w:color w:val="auto"/>
          <w:sz w:val="24"/>
          <w:szCs w:val="24"/>
          <w:lang w:val="en-US" w:eastAsia="zh-CN"/>
        </w:rPr>
        <w:t>二、</w:t>
      </w:r>
      <w:r>
        <w:rPr>
          <w:rFonts w:hint="eastAsia"/>
          <w:b/>
          <w:bCs/>
          <w:color w:val="auto"/>
          <w:sz w:val="24"/>
          <w:szCs w:val="24"/>
        </w:rPr>
        <w:t>应急演练</w:t>
      </w:r>
    </w:p>
    <w:p>
      <w:pPr>
        <w:ind w:firstLine="480" w:firstLineChars="200"/>
        <w:rPr>
          <w:rFonts w:hint="eastAsia"/>
        </w:rPr>
      </w:pPr>
      <w:r>
        <w:rPr>
          <w:rFonts w:hint="eastAsia"/>
        </w:rPr>
        <w:t>1、对应急救援人员进行培训，合格者才能上岗；</w:t>
      </w:r>
    </w:p>
    <w:p>
      <w:pPr>
        <w:ind w:firstLine="480" w:firstLineChars="200"/>
        <w:rPr>
          <w:rFonts w:hint="eastAsia"/>
        </w:rPr>
      </w:pPr>
      <w:r>
        <w:rPr>
          <w:rFonts w:hint="eastAsia"/>
        </w:rPr>
        <w:t>2、每月对应急救援人员的手机开通情况进行不定期抽查两次，一般安排在凌晨2点左右，以检验报警总机与反应机构的反应人员联络是否畅通。</w:t>
      </w:r>
      <w:bookmarkStart w:id="368" w:name="_Toc246062344"/>
      <w:bookmarkStart w:id="369" w:name="_Toc286324581"/>
    </w:p>
    <w:bookmarkEnd w:id="368"/>
    <w:bookmarkEnd w:id="369"/>
    <w:p>
      <w:pPr>
        <w:pStyle w:val="5"/>
      </w:pPr>
      <w:bookmarkStart w:id="370" w:name="_Toc239647125"/>
      <w:bookmarkStart w:id="371" w:name="_Toc225668628"/>
      <w:bookmarkStart w:id="372" w:name="_Toc246062345"/>
      <w:bookmarkStart w:id="373" w:name="_Toc194051911"/>
      <w:bookmarkStart w:id="374" w:name="_Toc286324582"/>
      <w:r>
        <w:rPr>
          <w:rFonts w:hint="eastAsia"/>
          <w:lang w:val="en-US" w:eastAsia="zh-CN"/>
        </w:rPr>
        <w:t>8.8.5</w:t>
      </w:r>
      <w:r>
        <w:t>预防和预警</w:t>
      </w:r>
      <w:bookmarkEnd w:id="370"/>
      <w:bookmarkEnd w:id="371"/>
      <w:bookmarkEnd w:id="372"/>
      <w:bookmarkEnd w:id="373"/>
      <w:bookmarkEnd w:id="374"/>
    </w:p>
    <w:p>
      <w:pPr>
        <w:ind w:firstLine="480" w:firstLineChars="200"/>
      </w:pPr>
      <w:bookmarkStart w:id="375" w:name="_Toc245889073"/>
      <w:bookmarkStart w:id="376" w:name="_Toc239647128"/>
      <w:bookmarkStart w:id="377" w:name="_Toc225668631"/>
      <w:r>
        <w:t>为</w:t>
      </w:r>
      <w:r>
        <w:rPr>
          <w:rFonts w:hint="eastAsia"/>
        </w:rPr>
        <w:t>了</w:t>
      </w:r>
      <w:r>
        <w:t>及时掌握危险源的情况，对危险事故</w:t>
      </w:r>
      <w:r>
        <w:rPr>
          <w:rFonts w:hint="eastAsia"/>
        </w:rPr>
        <w:t>做</w:t>
      </w:r>
      <w:r>
        <w:t>到早发现早处理，降低</w:t>
      </w:r>
      <w:r>
        <w:rPr>
          <w:rFonts w:hint="eastAsia"/>
        </w:rPr>
        <w:t>或避免</w:t>
      </w:r>
      <w:r>
        <w:t>危险事故造成的危害，必须建立健全危险源监控体系，</w:t>
      </w:r>
      <w:r>
        <w:rPr>
          <w:rFonts w:hint="eastAsia"/>
        </w:rPr>
        <w:t>具体</w:t>
      </w:r>
      <w:r>
        <w:t>工作内容包括以下两个方面：</w:t>
      </w:r>
    </w:p>
    <w:p>
      <w:pPr>
        <w:ind w:firstLine="480" w:firstLineChars="200"/>
        <w:rPr>
          <w:rFonts w:hint="eastAsia"/>
        </w:rPr>
      </w:pPr>
      <w:r>
        <w:t>首先是监控内容：主要包括监控对象、监控部位、监控方式、监控时间以及监控频率。其次是监控人员、物资配备：监控人员落实到位，监控仪器</w:t>
      </w:r>
      <w:r>
        <w:rPr>
          <w:rFonts w:hint="eastAsia"/>
        </w:rPr>
        <w:t>（如电子视频）</w:t>
      </w:r>
      <w:r>
        <w:t>、监控设施</w:t>
      </w:r>
      <w:r>
        <w:rPr>
          <w:rFonts w:hint="eastAsia"/>
        </w:rPr>
        <w:t>、</w:t>
      </w:r>
      <w:r>
        <w:t>化验药品配备齐全</w:t>
      </w:r>
      <w:r>
        <w:rPr>
          <w:rFonts w:hint="eastAsia"/>
        </w:rPr>
        <w:t>，</w:t>
      </w:r>
      <w:r>
        <w:t>并且落实到位。</w:t>
      </w:r>
    </w:p>
    <w:bookmarkEnd w:id="375"/>
    <w:bookmarkEnd w:id="376"/>
    <w:bookmarkEnd w:id="377"/>
    <w:p>
      <w:pPr>
        <w:pStyle w:val="5"/>
        <w:rPr>
          <w:rFonts w:hint="eastAsia"/>
          <w:lang w:val="en-US" w:eastAsia="zh-CN"/>
        </w:rPr>
      </w:pPr>
      <w:bookmarkStart w:id="378" w:name="_Toc246239582"/>
      <w:bookmarkStart w:id="379" w:name="_Toc286324594"/>
      <w:bookmarkStart w:id="380" w:name="_Toc194051914"/>
      <w:r>
        <w:rPr>
          <w:rFonts w:hint="eastAsia"/>
          <w:lang w:val="en-US" w:eastAsia="zh-CN"/>
        </w:rPr>
        <w:t>8.8.6应急响应</w:t>
      </w:r>
      <w:bookmarkEnd w:id="378"/>
      <w:bookmarkEnd w:id="379"/>
      <w:bookmarkEnd w:id="380"/>
    </w:p>
    <w:p>
      <w:pPr>
        <w:ind w:firstLine="480" w:firstLineChars="200"/>
        <w:rPr>
          <w:rFonts w:hint="eastAsia"/>
        </w:rPr>
      </w:pPr>
      <w:bookmarkStart w:id="381" w:name="_Toc194051916"/>
      <w:r>
        <w:rPr>
          <w:rFonts w:hint="eastAsia"/>
        </w:rPr>
        <w:t>1、接警与通知</w:t>
      </w:r>
      <w:bookmarkEnd w:id="381"/>
    </w:p>
    <w:p>
      <w:pPr>
        <w:rPr>
          <w:rFonts w:hint="eastAsia"/>
        </w:rPr>
      </w:pPr>
      <w:r>
        <w:rPr>
          <w:rFonts w:hint="eastAsia"/>
        </w:rPr>
        <w:t>值班人员在发现各种险情后，有责任立即向应急办公室如实汇报险情，应急办公室尽快了解事故规模性质等信息，立即通知指挥部和矿部值班领导，以采取相应的行动。</w:t>
      </w:r>
    </w:p>
    <w:p>
      <w:pPr>
        <w:ind w:firstLine="480" w:firstLineChars="200"/>
        <w:rPr>
          <w:rFonts w:hint="eastAsia"/>
        </w:rPr>
      </w:pPr>
      <w:r>
        <w:rPr>
          <w:rFonts w:hint="eastAsia"/>
        </w:rPr>
        <w:t>2、预案分级响应条件</w:t>
      </w:r>
    </w:p>
    <w:p>
      <w:pPr>
        <w:ind w:firstLine="480" w:firstLineChars="200"/>
        <w:rPr>
          <w:rFonts w:hint="eastAsia"/>
        </w:rPr>
      </w:pPr>
      <w:r>
        <w:rPr>
          <w:rFonts w:hint="eastAsia"/>
        </w:rPr>
        <w:t>一级：利用现场所备物资可解决的紧急情况。</w:t>
      </w:r>
    </w:p>
    <w:p>
      <w:pPr>
        <w:ind w:firstLine="480" w:firstLineChars="200"/>
        <w:rPr>
          <w:rFonts w:hint="eastAsia"/>
        </w:rPr>
      </w:pPr>
      <w:r>
        <w:rPr>
          <w:rFonts w:hint="eastAsia"/>
        </w:rPr>
        <w:t>二级：利用井下仓库锁备物资解决的紧急情况。</w:t>
      </w:r>
    </w:p>
    <w:p>
      <w:pPr>
        <w:ind w:firstLine="480" w:firstLineChars="200"/>
        <w:rPr>
          <w:rFonts w:hint="eastAsia"/>
        </w:rPr>
      </w:pPr>
      <w:r>
        <w:rPr>
          <w:rFonts w:hint="eastAsia"/>
        </w:rPr>
        <w:t>三级：需要矿部和政府部门响应的紧急情况。</w:t>
      </w:r>
    </w:p>
    <w:p>
      <w:pPr>
        <w:ind w:firstLine="480" w:firstLineChars="200"/>
        <w:rPr>
          <w:rFonts w:hint="eastAsia"/>
        </w:rPr>
      </w:pPr>
      <w:r>
        <w:rPr>
          <w:rFonts w:hint="eastAsia"/>
        </w:rPr>
        <w:t>3、指挥与控制</w:t>
      </w:r>
    </w:p>
    <w:p>
      <w:pPr>
        <w:ind w:firstLine="480" w:firstLineChars="200"/>
        <w:rPr>
          <w:rFonts w:hint="eastAsia"/>
        </w:rPr>
      </w:pPr>
      <w:r>
        <w:rPr>
          <w:rFonts w:hint="eastAsia"/>
        </w:rPr>
        <w:t>所有指挥部成员接到事故通知后，立即到指挥部集中，听矿部值班领导下达命令和灾情汇报情况，分级启动应急救援预案，提出具体方案，由指挥部统一指挥，分头执行，第一时间内调动人力物力，对事故进行控制和救援。</w:t>
      </w:r>
    </w:p>
    <w:p>
      <w:pPr>
        <w:pStyle w:val="5"/>
      </w:pPr>
      <w:bookmarkStart w:id="382" w:name="_Toc241053060"/>
      <w:bookmarkStart w:id="383" w:name="_Toc242849970"/>
      <w:bookmarkStart w:id="384" w:name="_Toc243218030"/>
      <w:bookmarkStart w:id="385" w:name="_Toc246239609"/>
      <w:bookmarkStart w:id="386" w:name="_Toc286324628"/>
      <w:bookmarkStart w:id="387" w:name="_Toc194051919"/>
      <w:r>
        <w:rPr>
          <w:rFonts w:hint="eastAsia"/>
        </w:rPr>
        <w:t>8</w:t>
      </w:r>
      <w:r>
        <w:t>.</w:t>
      </w:r>
      <w:r>
        <w:rPr>
          <w:rFonts w:hint="eastAsia"/>
          <w:lang w:val="en-US" w:eastAsia="zh-CN"/>
        </w:rPr>
        <w:t>8.7</w:t>
      </w:r>
      <w:r>
        <w:t xml:space="preserve"> 预案管理与更新</w:t>
      </w:r>
      <w:bookmarkEnd w:id="382"/>
      <w:bookmarkEnd w:id="383"/>
      <w:bookmarkEnd w:id="384"/>
      <w:bookmarkEnd w:id="385"/>
      <w:bookmarkEnd w:id="386"/>
      <w:bookmarkEnd w:id="387"/>
    </w:p>
    <w:p>
      <w:pPr>
        <w:ind w:firstLine="480" w:firstLineChars="200"/>
      </w:pPr>
      <w:r>
        <w:t>随着应急救援相关法律法规的制定、修改和完善，部门职责或应急资源发生变化，或者应急过程中出现新的情况，发现存在的问题，应当及时修订、更新、完善预案。</w:t>
      </w:r>
    </w:p>
    <w:p>
      <w:pPr>
        <w:pStyle w:val="5"/>
      </w:pPr>
      <w:bookmarkStart w:id="388" w:name="_Toc241053061"/>
      <w:bookmarkStart w:id="389" w:name="_Toc242849971"/>
      <w:bookmarkStart w:id="390" w:name="_Toc243218031"/>
      <w:bookmarkStart w:id="391" w:name="_Toc246239610"/>
      <w:bookmarkStart w:id="392" w:name="_Toc286324629"/>
      <w:bookmarkStart w:id="393" w:name="_Toc194051920"/>
      <w:r>
        <w:rPr>
          <w:rFonts w:hint="eastAsia"/>
        </w:rPr>
        <w:t>8</w:t>
      </w:r>
      <w:r>
        <w:t>.</w:t>
      </w:r>
      <w:r>
        <w:rPr>
          <w:rFonts w:hint="eastAsia"/>
          <w:lang w:val="en-US" w:eastAsia="zh-CN"/>
        </w:rPr>
        <w:t>8.8</w:t>
      </w:r>
      <w:r>
        <w:t>地方沟通与协作</w:t>
      </w:r>
      <w:bookmarkEnd w:id="388"/>
      <w:bookmarkEnd w:id="389"/>
      <w:bookmarkEnd w:id="390"/>
      <w:bookmarkEnd w:id="391"/>
      <w:bookmarkEnd w:id="392"/>
      <w:bookmarkEnd w:id="393"/>
    </w:p>
    <w:p>
      <w:pPr>
        <w:ind w:firstLine="480" w:firstLineChars="200"/>
      </w:pPr>
      <w:r>
        <w:t>建立与地方环境应急机构的联系，组织参与地方救援活动，开展与之相关的交流与合作。</w:t>
      </w:r>
    </w:p>
    <w:p>
      <w:pPr>
        <w:pStyle w:val="5"/>
      </w:pPr>
      <w:bookmarkStart w:id="394" w:name="_Toc241053062"/>
      <w:bookmarkStart w:id="395" w:name="_Toc242849972"/>
      <w:bookmarkStart w:id="396" w:name="_Toc243218032"/>
      <w:bookmarkStart w:id="397" w:name="_Toc246239611"/>
      <w:bookmarkStart w:id="398" w:name="_Toc286324630"/>
      <w:bookmarkStart w:id="399" w:name="_Toc194051921"/>
      <w:r>
        <w:rPr>
          <w:rFonts w:hint="eastAsia"/>
        </w:rPr>
        <w:t>8</w:t>
      </w:r>
      <w:r>
        <w:t>.</w:t>
      </w:r>
      <w:r>
        <w:rPr>
          <w:rFonts w:hint="eastAsia"/>
          <w:lang w:val="en-US" w:eastAsia="zh-CN"/>
        </w:rPr>
        <w:t>8.9</w:t>
      </w:r>
      <w:r>
        <w:t>奖励与责任追究</w:t>
      </w:r>
      <w:bookmarkEnd w:id="394"/>
      <w:bookmarkEnd w:id="395"/>
      <w:bookmarkEnd w:id="396"/>
      <w:bookmarkEnd w:id="397"/>
      <w:bookmarkEnd w:id="398"/>
      <w:bookmarkEnd w:id="399"/>
    </w:p>
    <w:p>
      <w:pPr>
        <w:spacing w:line="520" w:lineRule="exact"/>
        <w:ind w:firstLine="480" w:firstLineChars="200"/>
        <w:rPr>
          <w:rFonts w:hint="eastAsia" w:hAnsi="宋体"/>
          <w:color w:val="auto"/>
          <w:sz w:val="24"/>
          <w:szCs w:val="24"/>
          <w:lang w:val="en-US" w:eastAsia="zh-CN"/>
        </w:rPr>
      </w:pPr>
      <w:r>
        <w:rPr>
          <w:rFonts w:hAnsi="宋体"/>
          <w:color w:val="auto"/>
          <w:sz w:val="24"/>
          <w:szCs w:val="24"/>
        </w:rPr>
        <w:t>在突发性环境污染事故应急救援工作中，对在抢险救援工作方面做出较大贡献的，应依据有关规定给予奖励</w:t>
      </w:r>
      <w:r>
        <w:rPr>
          <w:rFonts w:hint="eastAsia" w:hAnsi="宋体"/>
          <w:color w:val="auto"/>
          <w:sz w:val="24"/>
          <w:szCs w:val="24"/>
          <w:lang w:eastAsia="zh-CN"/>
        </w:rPr>
        <w:t>。</w:t>
      </w:r>
      <w:r>
        <w:rPr>
          <w:rFonts w:ascii="Times New Roman" w:cs="Times New Roman"/>
          <w:color w:val="auto"/>
          <w:sz w:val="24"/>
          <w:szCs w:val="24"/>
        </w:rPr>
        <w:t>对工作不负责任的有关人员视情节和危害后果，追究相应的责任。</w:t>
      </w:r>
    </w:p>
    <w:p>
      <w:pPr>
        <w:pStyle w:val="4"/>
        <w:rPr>
          <w:rFonts w:hint="eastAsia"/>
          <w:lang w:val="en-US" w:eastAsia="zh-CN"/>
        </w:rPr>
      </w:pPr>
      <w:bookmarkStart w:id="400" w:name="_Toc645"/>
      <w:r>
        <w:rPr>
          <w:rFonts w:hint="eastAsia"/>
          <w:lang w:val="en-US" w:eastAsia="zh-CN"/>
        </w:rPr>
        <w:t>8.9 调查结论</w:t>
      </w:r>
      <w:bookmarkEnd w:id="400"/>
    </w:p>
    <w:p>
      <w:pPr>
        <w:ind w:firstLine="480" w:firstLineChars="200"/>
        <w:rPr>
          <w:rFonts w:hint="eastAsia"/>
          <w:lang w:val="en-US" w:eastAsia="zh-CN"/>
        </w:rPr>
      </w:pPr>
      <w:r>
        <w:rPr>
          <w:rFonts w:hint="eastAsia"/>
          <w:lang w:val="en-US" w:eastAsia="zh-CN"/>
        </w:rPr>
        <w:t>项目环境管理措施到位，管理机构健全，管理分工明确，环境风险应急预案已通过审批并备案，内容充实可行。企业针对环境质量的保护和污染物长期稳定达标排放采取了有效可行的措施，对可能突发的环境事故有了实时的监控预防，对事故的发生有了完善的应急方案和人员分工，总体来看，项目环境管理及环境风险预防措施较好，有效可行。</w:t>
      </w:r>
    </w:p>
    <w:p>
      <w:pPr>
        <w:rPr>
          <w:rFonts w:hint="eastAsia"/>
          <w:color w:val="FF0000"/>
          <w:lang w:val="en-US" w:eastAsia="zh-CN"/>
        </w:rPr>
      </w:pPr>
    </w:p>
    <w:p>
      <w:pPr>
        <w:pStyle w:val="2"/>
        <w:rPr>
          <w:rFonts w:hint="eastAsia"/>
          <w:lang w:val="en-US" w:eastAsia="zh-CN"/>
        </w:rPr>
        <w:sectPr>
          <w:head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jc w:val="center"/>
        <w:rPr>
          <w:rFonts w:hint="eastAsia"/>
          <w:lang w:val="en-US" w:eastAsia="zh-CN"/>
        </w:rPr>
      </w:pPr>
      <w:bookmarkStart w:id="401" w:name="_Toc11300"/>
      <w:r>
        <w:rPr>
          <w:rFonts w:hint="eastAsia"/>
          <w:lang w:val="en-US" w:eastAsia="zh-CN"/>
        </w:rPr>
        <w:t>9 公众意见调查</w:t>
      </w:r>
      <w:bookmarkEnd w:id="401"/>
    </w:p>
    <w:p>
      <w:pPr>
        <w:ind w:firstLine="480"/>
        <w:rPr>
          <w:rFonts w:ascii="Times New Roman" w:hAnsi="Times New Roman" w:cs="Times New Roman"/>
          <w:bCs/>
          <w:color w:val="auto"/>
          <w:shd w:val="clear" w:color="auto" w:fill="auto"/>
        </w:rPr>
      </w:pPr>
      <w:r>
        <w:rPr>
          <w:rFonts w:ascii="Times New Roman" w:hAnsi="Times New Roman" w:cs="Times New Roman"/>
          <w:bCs/>
          <w:color w:val="auto"/>
          <w:shd w:val="clear" w:color="auto" w:fill="auto"/>
        </w:rPr>
        <w:t>根据安徽省环保厅2013年10月18日《关于加强建设项目环境影响评价及环保竣工验收公众参与工作的通知》，本项目应做公众调查。本次公众参与采取问卷调查形式。</w:t>
      </w:r>
    </w:p>
    <w:p>
      <w:pPr>
        <w:pStyle w:val="4"/>
        <w:rPr>
          <w:color w:val="auto"/>
        </w:rPr>
      </w:pPr>
      <w:bookmarkStart w:id="402" w:name="_Toc150876956"/>
      <w:bookmarkStart w:id="403" w:name="_Toc30930"/>
      <w:bookmarkStart w:id="404" w:name="_Toc16903549"/>
      <w:bookmarkStart w:id="405" w:name="_Toc33093407"/>
      <w:bookmarkStart w:id="406" w:name="_Toc277519678"/>
      <w:bookmarkStart w:id="407" w:name="_Toc248550156"/>
      <w:bookmarkStart w:id="408" w:name="_Toc12938"/>
      <w:bookmarkStart w:id="409" w:name="_Toc18400945"/>
      <w:bookmarkStart w:id="410" w:name="_Toc150913240"/>
      <w:bookmarkStart w:id="411" w:name="_Toc153336541"/>
      <w:bookmarkStart w:id="412" w:name="_Toc16903772"/>
      <w:bookmarkStart w:id="413" w:name="_Toc274984308"/>
      <w:bookmarkStart w:id="414" w:name="_Toc33261884"/>
      <w:bookmarkStart w:id="415" w:name="_Toc16903616"/>
      <w:bookmarkStart w:id="416" w:name="_Toc2540"/>
      <w:bookmarkStart w:id="417" w:name="_Toc14081014"/>
      <w:bookmarkStart w:id="418" w:name="_Toc15632"/>
      <w:bookmarkStart w:id="419" w:name="_Toc150877960"/>
      <w:bookmarkStart w:id="420" w:name="_Toc277520166"/>
      <w:bookmarkStart w:id="421" w:name="_Toc16242964"/>
      <w:bookmarkStart w:id="422" w:name="_Toc17019838"/>
      <w:bookmarkStart w:id="423" w:name="_Toc364088224"/>
      <w:bookmarkStart w:id="424" w:name="_Toc28039"/>
      <w:bookmarkStart w:id="425" w:name="_Toc16903468"/>
      <w:bookmarkStart w:id="426" w:name="_Toc153336455"/>
      <w:bookmarkStart w:id="427" w:name="_Toc33093627"/>
      <w:r>
        <w:rPr>
          <w:rFonts w:hint="eastAsia"/>
          <w:color w:val="auto"/>
          <w:lang w:val="en-US" w:eastAsia="zh-CN"/>
        </w:rPr>
        <w:t>9</w:t>
      </w:r>
      <w:r>
        <w:rPr>
          <w:color w:val="auto"/>
        </w:rPr>
        <w:t>.1</w:t>
      </w:r>
      <w:r>
        <w:rPr>
          <w:rFonts w:hint="eastAsia"/>
          <w:color w:val="auto"/>
        </w:rPr>
        <w:t xml:space="preserve"> 公众参与目的</w:t>
      </w:r>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pPr>
        <w:keepNext w:val="0"/>
        <w:keepLines w:val="0"/>
        <w:pageBreakBefore w:val="0"/>
        <w:widowControl w:val="0"/>
        <w:tabs>
          <w:tab w:val="left" w:pos="450"/>
        </w:tabs>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ascii="宋体" w:hAnsi="宋体"/>
          <w:bCs/>
          <w:color w:val="auto"/>
          <w:shd w:val="clear" w:color="auto" w:fill="auto"/>
        </w:rPr>
      </w:pPr>
      <w:r>
        <w:rPr>
          <w:rFonts w:hint="default" w:ascii="Times New Roman" w:hAnsi="Times New Roman" w:cs="Times New Roman"/>
          <w:bCs/>
          <w:color w:val="auto"/>
          <w:shd w:val="clear" w:color="auto" w:fill="auto"/>
        </w:rPr>
        <w:t>为详细了解</w:t>
      </w:r>
      <w:r>
        <w:rPr>
          <w:rFonts w:hint="eastAsia"/>
          <w:color w:val="auto"/>
          <w:lang w:val="en-US" w:eastAsia="zh-CN"/>
        </w:rPr>
        <w:t>池州姚街新冲铅锌矿有限公司</w:t>
      </w:r>
      <w:r>
        <w:rPr>
          <w:rFonts w:hint="default" w:ascii="Times New Roman" w:hAnsi="Times New Roman" w:cs="Times New Roman" w:eastAsiaTheme="minorEastAsia"/>
          <w:b w:val="0"/>
          <w:bCs/>
          <w:sz w:val="24"/>
          <w:szCs w:val="24"/>
        </w:rPr>
        <w:t>姚街铅锌矿年产2万吨铅锌矿石原矿采矿技改整合扩建工程项目</w:t>
      </w:r>
      <w:r>
        <w:rPr>
          <w:rFonts w:hint="default" w:ascii="Times New Roman" w:hAnsi="Times New Roman" w:cs="Times New Roman"/>
          <w:bCs/>
          <w:color w:val="auto"/>
          <w:shd w:val="clear" w:color="auto" w:fill="auto"/>
        </w:rPr>
        <w:t>区域</w:t>
      </w:r>
      <w:r>
        <w:rPr>
          <w:rFonts w:hint="eastAsia" w:cs="Times New Roman"/>
          <w:bCs/>
          <w:color w:val="auto"/>
          <w:shd w:val="clear" w:color="auto" w:fill="auto"/>
          <w:lang w:val="en-US" w:eastAsia="zh-CN"/>
        </w:rPr>
        <w:t>周边</w:t>
      </w:r>
      <w:r>
        <w:rPr>
          <w:rFonts w:hint="default" w:ascii="Times New Roman" w:hAnsi="Times New Roman" w:cs="Times New Roman"/>
          <w:bCs/>
          <w:color w:val="auto"/>
          <w:shd w:val="clear" w:color="auto" w:fill="auto"/>
        </w:rPr>
        <w:t>的群众对该项目验收的意见和要求。</w:t>
      </w:r>
    </w:p>
    <w:p>
      <w:pPr>
        <w:pStyle w:val="4"/>
        <w:rPr>
          <w:color w:val="FF0000"/>
        </w:rPr>
      </w:pPr>
      <w:bookmarkStart w:id="428" w:name="_Toc14081016"/>
      <w:bookmarkStart w:id="429" w:name="_Toc33093409"/>
      <w:bookmarkStart w:id="430" w:name="_Toc33093629"/>
      <w:bookmarkStart w:id="431" w:name="_Toc364088226"/>
      <w:bookmarkStart w:id="432" w:name="_Toc18400947"/>
      <w:bookmarkStart w:id="433" w:name="_Toc16242966"/>
      <w:bookmarkStart w:id="434" w:name="_Toc277520168"/>
      <w:bookmarkStart w:id="435" w:name="_Toc153336457"/>
      <w:bookmarkStart w:id="436" w:name="_Toc16903774"/>
      <w:bookmarkStart w:id="437" w:name="_Toc150913242"/>
      <w:bookmarkStart w:id="438" w:name="_Toc150877962"/>
      <w:bookmarkStart w:id="439" w:name="_Toc153336543"/>
      <w:bookmarkStart w:id="440" w:name="_Toc16903618"/>
      <w:bookmarkStart w:id="441" w:name="_Toc150876958"/>
      <w:bookmarkStart w:id="442" w:name="_Toc17019840"/>
      <w:bookmarkStart w:id="443" w:name="_Toc277519680"/>
      <w:bookmarkStart w:id="444" w:name="_Toc16903551"/>
      <w:bookmarkStart w:id="445" w:name="_Toc16903470"/>
      <w:bookmarkStart w:id="446" w:name="_Toc274984310"/>
      <w:bookmarkStart w:id="447" w:name="_Toc248550158"/>
      <w:bookmarkStart w:id="448" w:name="_Toc33261886"/>
      <w:bookmarkStart w:id="449" w:name="_Toc29011"/>
      <w:bookmarkStart w:id="450" w:name="_Toc18327"/>
      <w:bookmarkStart w:id="451" w:name="_Toc31496"/>
      <w:bookmarkStart w:id="452" w:name="_Toc12307"/>
      <w:bookmarkStart w:id="453" w:name="_Toc31508"/>
      <w:r>
        <w:rPr>
          <w:rFonts w:hint="eastAsia"/>
          <w:color w:val="auto"/>
          <w:lang w:val="en-US" w:eastAsia="zh-CN"/>
        </w:rPr>
        <w:t>9</w:t>
      </w:r>
      <w:r>
        <w:rPr>
          <w:color w:val="auto"/>
        </w:rPr>
        <w:t>.2</w:t>
      </w:r>
      <w:r>
        <w:rPr>
          <w:rFonts w:hint="eastAsia"/>
          <w:color w:val="auto"/>
        </w:rPr>
        <w:t xml:space="preserve"> 公众参与调查对象</w:t>
      </w:r>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r>
        <w:rPr>
          <w:rFonts w:hint="eastAsia"/>
          <w:color w:val="auto"/>
        </w:rPr>
        <w:t>和方式</w:t>
      </w:r>
      <w:bookmarkEnd w:id="449"/>
      <w:bookmarkEnd w:id="450"/>
      <w:bookmarkEnd w:id="451"/>
      <w:bookmarkEnd w:id="452"/>
      <w:bookmarkEnd w:id="453"/>
    </w:p>
    <w:p>
      <w:pPr>
        <w:keepNext w:val="0"/>
        <w:keepLines w:val="0"/>
        <w:pageBreakBefore w:val="0"/>
        <w:widowControl w:val="0"/>
        <w:kinsoku w:val="0"/>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ascii="Times New Roman" w:hAnsi="Times New Roman" w:cs="Times New Roman"/>
          <w:bCs/>
          <w:color w:val="auto"/>
          <w:shd w:val="clear" w:color="auto" w:fill="auto"/>
        </w:rPr>
      </w:pPr>
      <w:r>
        <w:rPr>
          <w:rFonts w:ascii="Times New Roman" w:hAnsi="Times New Roman" w:cs="Times New Roman"/>
          <w:bCs/>
          <w:color w:val="auto"/>
          <w:shd w:val="clear" w:color="auto" w:fill="auto"/>
        </w:rPr>
        <w:t>本次验收检测期间的公众参与调查方式采用随机抽样的方式，由调查人员将已印制好的调查表随机发放到被调查人手里，当场填写，调查人员回收，统计分析以填好的调查表为依据，调查群众名单见表</w:t>
      </w:r>
      <w:r>
        <w:rPr>
          <w:rFonts w:hint="eastAsia" w:cs="Times New Roman"/>
          <w:bCs/>
          <w:color w:val="auto"/>
          <w:shd w:val="clear" w:color="auto" w:fill="auto"/>
          <w:lang w:val="en-US" w:eastAsia="zh-CN"/>
        </w:rPr>
        <w:t>9.2</w:t>
      </w:r>
      <w:r>
        <w:rPr>
          <w:rFonts w:ascii="Times New Roman" w:hAnsi="Times New Roman" w:cs="Times New Roman"/>
          <w:bCs/>
          <w:color w:val="auto"/>
          <w:shd w:val="clear" w:color="auto" w:fill="auto"/>
        </w:rPr>
        <w:t>-1，调查表格式见表</w:t>
      </w:r>
      <w:r>
        <w:rPr>
          <w:rFonts w:hint="eastAsia" w:cs="Times New Roman"/>
          <w:bCs/>
          <w:color w:val="auto"/>
          <w:shd w:val="clear" w:color="auto" w:fill="auto"/>
          <w:lang w:val="en-US" w:eastAsia="zh-CN"/>
        </w:rPr>
        <w:t>9.2</w:t>
      </w:r>
      <w:r>
        <w:rPr>
          <w:rFonts w:ascii="Times New Roman" w:hAnsi="Times New Roman" w:cs="Times New Roman"/>
          <w:bCs/>
          <w:color w:val="auto"/>
          <w:shd w:val="clear" w:color="auto" w:fill="auto"/>
        </w:rPr>
        <w:t>-2。</w:t>
      </w:r>
    </w:p>
    <w:p>
      <w:pPr>
        <w:keepNext w:val="0"/>
        <w:keepLines w:val="0"/>
        <w:pageBreakBefore w:val="0"/>
        <w:widowControl w:val="0"/>
        <w:kinsoku w:val="0"/>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ascii="Times New Roman" w:hAnsi="Times New Roman" w:cs="Times New Roman"/>
          <w:bCs/>
          <w:color w:val="auto"/>
          <w:shd w:val="clear" w:color="auto" w:fill="auto"/>
        </w:rPr>
      </w:pPr>
      <w:r>
        <w:rPr>
          <w:rFonts w:ascii="Times New Roman" w:hAnsi="Times New Roman" w:cs="Times New Roman"/>
          <w:bCs/>
          <w:color w:val="auto"/>
          <w:shd w:val="clear" w:color="auto" w:fill="auto"/>
        </w:rPr>
        <w:t>在调查的过程中，为使公众对项目情况有较全面的了解，并作出公正合理的决定，调查人员对调查对象提出的疑问及对项目的不解之处，尽可能的给予详尽的回答。</w:t>
      </w:r>
    </w:p>
    <w:p>
      <w:pPr>
        <w:keepNext w:val="0"/>
        <w:keepLines w:val="0"/>
        <w:pageBreakBefore w:val="0"/>
        <w:widowControl w:val="0"/>
        <w:kinsoku w:val="0"/>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ascii="Times New Roman" w:hAnsi="Times New Roman" w:cs="Times New Roman"/>
          <w:bCs/>
          <w:color w:val="auto"/>
          <w:shd w:val="clear" w:color="auto" w:fil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cs="Times New Roman"/>
          <w:bCs/>
          <w:color w:val="auto"/>
          <w:shd w:val="clear" w:color="auto" w:fill="auto"/>
        </w:rPr>
        <w:t>本次公众参与信息收集具有良好的广泛性和代表性，可以较全面的反应项目附近直接及间接受影响的人群对本项目的态度和意见。公众意见调查统计结果详见表</w:t>
      </w:r>
      <w:r>
        <w:rPr>
          <w:rFonts w:hint="eastAsia" w:cs="Times New Roman"/>
          <w:bCs/>
          <w:color w:val="auto"/>
          <w:shd w:val="clear" w:color="auto" w:fill="auto"/>
          <w:lang w:val="en-US" w:eastAsia="zh-CN"/>
        </w:rPr>
        <w:t>9.2-3。</w:t>
      </w:r>
    </w:p>
    <w:p>
      <w:pPr>
        <w:pStyle w:val="23"/>
        <w:jc w:val="center"/>
        <w:rPr>
          <w:rFonts w:ascii="Times New Roman" w:hAnsi="Times New Roman" w:cs="Times New Roman"/>
          <w:b/>
          <w:color w:val="auto"/>
          <w:sz w:val="21"/>
          <w:szCs w:val="21"/>
          <w:shd w:val="clear" w:color="auto" w:fill="auto"/>
        </w:rPr>
      </w:pPr>
      <w:r>
        <w:rPr>
          <w:rFonts w:ascii="Times New Roman" w:hAnsi="Times New Roman" w:cs="Times New Roman"/>
          <w:b/>
          <w:color w:val="auto"/>
          <w:sz w:val="21"/>
          <w:szCs w:val="21"/>
          <w:shd w:val="clear" w:color="auto" w:fill="auto"/>
        </w:rPr>
        <w:t>表</w:t>
      </w:r>
      <w:r>
        <w:rPr>
          <w:rFonts w:hint="eastAsia" w:cs="Times New Roman"/>
          <w:b/>
          <w:color w:val="auto"/>
          <w:sz w:val="21"/>
          <w:szCs w:val="21"/>
          <w:shd w:val="clear" w:color="auto" w:fill="auto"/>
          <w:lang w:val="en-US" w:eastAsia="zh-CN"/>
        </w:rPr>
        <w:t>9.2</w:t>
      </w:r>
      <w:r>
        <w:rPr>
          <w:rFonts w:ascii="Times New Roman" w:hAnsi="Times New Roman" w:cs="Times New Roman"/>
          <w:b/>
          <w:color w:val="auto"/>
          <w:sz w:val="21"/>
          <w:szCs w:val="21"/>
          <w:shd w:val="clear" w:color="auto" w:fill="auto"/>
        </w:rPr>
        <w:t>-1 公众参与调查人员名单</w:t>
      </w:r>
    </w:p>
    <w:tbl>
      <w:tblPr>
        <w:tblStyle w:val="16"/>
        <w:tblW w:w="8546" w:type="dxa"/>
        <w:jc w:val="center"/>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87"/>
        <w:gridCol w:w="1178"/>
        <w:gridCol w:w="750"/>
        <w:gridCol w:w="871"/>
        <w:gridCol w:w="885"/>
        <w:gridCol w:w="2662"/>
        <w:gridCol w:w="1513"/>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tcBorders>
              <w:top w:val="doub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b/>
                <w:bCs/>
                <w:color w:val="auto"/>
                <w:sz w:val="21"/>
                <w:szCs w:val="21"/>
              </w:rPr>
            </w:pPr>
            <w:r>
              <w:rPr>
                <w:rFonts w:hint="eastAsia" w:ascii="Times New Roman" w:hAnsi="Times New Roman" w:cs="宋体"/>
                <w:b/>
                <w:bCs/>
                <w:color w:val="auto"/>
                <w:sz w:val="21"/>
                <w:szCs w:val="21"/>
              </w:rPr>
              <w:t>序号</w:t>
            </w:r>
          </w:p>
        </w:tc>
        <w:tc>
          <w:tcPr>
            <w:tcW w:w="1178" w:type="dxa"/>
            <w:tcBorders>
              <w:top w:val="doub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b/>
                <w:bCs/>
                <w:color w:val="auto"/>
                <w:sz w:val="21"/>
                <w:szCs w:val="21"/>
              </w:rPr>
            </w:pPr>
            <w:r>
              <w:rPr>
                <w:rFonts w:hint="eastAsia" w:ascii="Times New Roman" w:hAnsi="Times New Roman" w:cs="宋体"/>
                <w:b/>
                <w:bCs/>
                <w:color w:val="auto"/>
                <w:sz w:val="21"/>
                <w:szCs w:val="21"/>
              </w:rPr>
              <w:t>姓名</w:t>
            </w:r>
          </w:p>
        </w:tc>
        <w:tc>
          <w:tcPr>
            <w:tcW w:w="750" w:type="dxa"/>
            <w:tcBorders>
              <w:top w:val="doub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b/>
                <w:bCs/>
                <w:color w:val="auto"/>
                <w:sz w:val="21"/>
                <w:szCs w:val="21"/>
              </w:rPr>
            </w:pPr>
            <w:r>
              <w:rPr>
                <w:rFonts w:hint="eastAsia" w:ascii="Times New Roman" w:hAnsi="Times New Roman" w:cs="宋体"/>
                <w:b/>
                <w:bCs/>
                <w:color w:val="auto"/>
                <w:sz w:val="21"/>
                <w:szCs w:val="21"/>
              </w:rPr>
              <w:t>性别</w:t>
            </w:r>
          </w:p>
        </w:tc>
        <w:tc>
          <w:tcPr>
            <w:tcW w:w="871" w:type="dxa"/>
            <w:tcBorders>
              <w:top w:val="doub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b/>
                <w:bCs/>
                <w:color w:val="auto"/>
                <w:sz w:val="21"/>
                <w:szCs w:val="21"/>
              </w:rPr>
            </w:pPr>
            <w:r>
              <w:rPr>
                <w:rFonts w:hint="eastAsia" w:ascii="Times New Roman" w:hAnsi="Times New Roman" w:cs="宋体"/>
                <w:b/>
                <w:bCs/>
                <w:color w:val="auto"/>
                <w:sz w:val="21"/>
                <w:szCs w:val="21"/>
              </w:rPr>
              <w:t>年龄</w:t>
            </w:r>
          </w:p>
        </w:tc>
        <w:tc>
          <w:tcPr>
            <w:tcW w:w="885" w:type="dxa"/>
            <w:tcBorders>
              <w:top w:val="doub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b/>
                <w:bCs/>
                <w:color w:val="auto"/>
                <w:sz w:val="21"/>
                <w:szCs w:val="21"/>
              </w:rPr>
            </w:pPr>
            <w:r>
              <w:rPr>
                <w:rFonts w:hint="eastAsia" w:ascii="Times New Roman" w:hAnsi="Times New Roman" w:cs="宋体"/>
                <w:b/>
                <w:bCs/>
                <w:color w:val="auto"/>
                <w:sz w:val="21"/>
                <w:szCs w:val="21"/>
              </w:rPr>
              <w:t>文化</w:t>
            </w:r>
          </w:p>
        </w:tc>
        <w:tc>
          <w:tcPr>
            <w:tcW w:w="2662" w:type="dxa"/>
            <w:tcBorders>
              <w:top w:val="doub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b/>
                <w:bCs/>
                <w:color w:val="auto"/>
                <w:sz w:val="21"/>
                <w:szCs w:val="21"/>
              </w:rPr>
            </w:pPr>
            <w:r>
              <w:rPr>
                <w:rFonts w:hint="eastAsia" w:ascii="Times New Roman" w:hAnsi="Times New Roman" w:cs="宋体"/>
                <w:b/>
                <w:bCs/>
                <w:color w:val="auto"/>
                <w:sz w:val="21"/>
                <w:szCs w:val="21"/>
              </w:rPr>
              <w:t>居住住址</w:t>
            </w:r>
          </w:p>
        </w:tc>
        <w:tc>
          <w:tcPr>
            <w:tcW w:w="1513" w:type="dxa"/>
            <w:tcBorders>
              <w:top w:val="doub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b/>
                <w:bCs/>
                <w:color w:val="auto"/>
                <w:sz w:val="21"/>
                <w:szCs w:val="21"/>
              </w:rPr>
            </w:pPr>
            <w:r>
              <w:rPr>
                <w:rFonts w:hint="eastAsia" w:ascii="Times New Roman" w:hAnsi="Times New Roman" w:cs="宋体"/>
                <w:b/>
                <w:bCs/>
                <w:color w:val="auto"/>
                <w:sz w:val="21"/>
                <w:szCs w:val="21"/>
              </w:rPr>
              <w:t>联系方式</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徐有平</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女</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43</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初中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firstLine="210" w:firstLineChars="10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4657263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方立明</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48</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初中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13856655768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吴志来</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58</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初中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13856600931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张芳红</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46</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小学</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18792161568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陈少华</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57</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高中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15256678218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张俊雄</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27</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大专</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18756645121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姚新祥</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52</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初中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13635661943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程龙祥</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54</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初中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13866824679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姚红斌</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中专</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13955525197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朱四新</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53</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高中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15905662704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方长江</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56</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初中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18956695729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张芳友</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54</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高中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15955664436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代伍壹</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r>
              <w:rPr>
                <w:rFonts w:hint="eastAsia" w:cs="Times New Roman"/>
                <w:color w:val="auto"/>
                <w:sz w:val="21"/>
                <w:szCs w:val="21"/>
                <w:lang w:val="en-US" w:eastAsia="zh-CN"/>
              </w:rPr>
              <w:t>5</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初中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15856010309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曹伟</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52</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初中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13645661757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吴姣红</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女</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45</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初中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15955662149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姚建新</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62</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初中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15956644017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姚维标</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52</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初中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4658077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方超</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ascii="Times New Roman" w:hAnsi="Times New Roman" w:cs="宋体"/>
                <w:color w:val="auto"/>
                <w:sz w:val="21"/>
                <w:szCs w:val="21"/>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32</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宋体"/>
                <w:color w:val="auto"/>
                <w:sz w:val="21"/>
                <w:szCs w:val="21"/>
                <w:lang w:eastAsia="zh-CN"/>
              </w:rPr>
              <w:t>高中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4658288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19</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方建设</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47</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初中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18356680926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54" w:hRule="exact"/>
          <w:tblHeader/>
          <w:jc w:val="center"/>
        </w:trPr>
        <w:tc>
          <w:tcPr>
            <w:tcW w:w="687"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w:t>
            </w:r>
          </w:p>
        </w:tc>
        <w:tc>
          <w:tcPr>
            <w:tcW w:w="1178"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张芳源</w:t>
            </w:r>
          </w:p>
        </w:tc>
        <w:tc>
          <w:tcPr>
            <w:tcW w:w="750"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男</w:t>
            </w:r>
          </w:p>
        </w:tc>
        <w:tc>
          <w:tcPr>
            <w:tcW w:w="871"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40</w:t>
            </w:r>
          </w:p>
        </w:tc>
        <w:tc>
          <w:tcPr>
            <w:tcW w:w="885"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高中</w:t>
            </w:r>
          </w:p>
        </w:tc>
        <w:tc>
          <w:tcPr>
            <w:tcW w:w="2662"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 w:val="21"/>
                <w:szCs w:val="21"/>
              </w:rPr>
            </w:pPr>
            <w:r>
              <w:rPr>
                <w:rFonts w:hint="eastAsia" w:cs="宋体"/>
                <w:color w:val="auto"/>
                <w:sz w:val="21"/>
                <w:szCs w:val="21"/>
                <w:lang w:eastAsia="zh-CN"/>
              </w:rPr>
              <w:t>池州贵池区梅街镇姚街村</w:t>
            </w:r>
          </w:p>
        </w:tc>
        <w:tc>
          <w:tcPr>
            <w:tcW w:w="1513"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1385662807</w:t>
            </w:r>
          </w:p>
        </w:tc>
      </w:tr>
    </w:tbl>
    <w:p>
      <w:pPr>
        <w:pStyle w:val="23"/>
        <w:jc w:val="both"/>
        <w:rPr>
          <w:rFonts w:ascii="Times New Roman" w:hAnsi="Times New Roman" w:cs="Times New Roman"/>
          <w:b/>
          <w:color w:val="FF0000"/>
          <w:szCs w:val="24"/>
          <w:shd w:val="clear" w:color="auto" w:fill="auto"/>
        </w:rPr>
      </w:pPr>
    </w:p>
    <w:p>
      <w:pPr>
        <w:pStyle w:val="23"/>
        <w:jc w:val="both"/>
        <w:rPr>
          <w:rFonts w:ascii="Times New Roman" w:hAnsi="Times New Roman" w:cs="Times New Roman"/>
          <w:b/>
          <w:color w:val="FF0000"/>
          <w:szCs w:val="24"/>
          <w:shd w:val="clear" w:color="auto" w:fill="auto"/>
        </w:rPr>
      </w:pPr>
    </w:p>
    <w:p>
      <w:pPr>
        <w:pStyle w:val="23"/>
        <w:jc w:val="left"/>
        <w:rPr>
          <w:rFonts w:ascii="Times New Roman" w:hAnsi="Times New Roman" w:cs="Times New Roman"/>
          <w:b/>
          <w:color w:val="FF0000"/>
          <w:szCs w:val="24"/>
          <w:shd w:val="clear" w:color="auto" w:fill="auto"/>
        </w:rPr>
      </w:pPr>
    </w:p>
    <w:p>
      <w:pPr>
        <w:pStyle w:val="23"/>
        <w:jc w:val="left"/>
        <w:rPr>
          <w:rFonts w:ascii="Times New Roman" w:hAnsi="Times New Roman" w:cs="Times New Roman"/>
          <w:b/>
          <w:color w:val="FF0000"/>
          <w:szCs w:val="24"/>
          <w:shd w:val="clear" w:color="auto" w:fill="auto"/>
        </w:rPr>
      </w:pPr>
    </w:p>
    <w:p>
      <w:pPr>
        <w:pStyle w:val="23"/>
        <w:jc w:val="left"/>
        <w:rPr>
          <w:rFonts w:ascii="Times New Roman" w:hAnsi="Times New Roman" w:cs="Times New Roman"/>
          <w:b/>
          <w:color w:val="FF0000"/>
          <w:szCs w:val="24"/>
          <w:shd w:val="clear" w:color="auto" w:fill="auto"/>
        </w:rPr>
      </w:pPr>
    </w:p>
    <w:p>
      <w:pPr>
        <w:pStyle w:val="23"/>
        <w:jc w:val="left"/>
        <w:rPr>
          <w:rFonts w:ascii="Times New Roman" w:hAnsi="Times New Roman" w:cs="Times New Roman"/>
          <w:b/>
          <w:color w:val="FF0000"/>
          <w:szCs w:val="24"/>
          <w:shd w:val="clear" w:color="auto" w:fill="auto"/>
        </w:rPr>
      </w:pPr>
    </w:p>
    <w:p>
      <w:pPr>
        <w:pStyle w:val="23"/>
        <w:jc w:val="left"/>
        <w:rPr>
          <w:rFonts w:ascii="Times New Roman" w:hAnsi="Times New Roman" w:cs="Times New Roman"/>
          <w:b/>
          <w:color w:val="FF0000"/>
          <w:szCs w:val="24"/>
          <w:shd w:val="clear" w:color="auto" w:fill="auto"/>
        </w:rPr>
      </w:pPr>
    </w:p>
    <w:p>
      <w:pPr>
        <w:pStyle w:val="23"/>
        <w:jc w:val="left"/>
        <w:rPr>
          <w:rFonts w:ascii="Times New Roman" w:hAnsi="Times New Roman" w:cs="Times New Roman"/>
          <w:b/>
          <w:color w:val="FF0000"/>
          <w:szCs w:val="24"/>
          <w:shd w:val="clear" w:color="auto" w:fill="auto"/>
        </w:rPr>
      </w:pPr>
    </w:p>
    <w:p>
      <w:pPr>
        <w:pStyle w:val="23"/>
        <w:jc w:val="center"/>
        <w:rPr>
          <w:rFonts w:ascii="Times New Roman" w:hAnsi="Times New Roman" w:cs="Times New Roman"/>
          <w:b/>
          <w:color w:val="auto"/>
          <w:sz w:val="21"/>
          <w:szCs w:val="21"/>
          <w:shd w:val="clear" w:color="auto" w:fill="auto"/>
        </w:rPr>
      </w:pPr>
      <w:r>
        <w:rPr>
          <w:rFonts w:ascii="Times New Roman" w:hAnsi="Times New Roman" w:cs="Times New Roman"/>
          <w:b/>
          <w:color w:val="auto"/>
          <w:sz w:val="21"/>
          <w:szCs w:val="21"/>
          <w:shd w:val="clear" w:color="auto" w:fill="auto"/>
        </w:rPr>
        <w:t>表</w:t>
      </w:r>
      <w:r>
        <w:rPr>
          <w:rFonts w:hint="eastAsia" w:cs="Times New Roman"/>
          <w:b/>
          <w:color w:val="auto"/>
          <w:sz w:val="21"/>
          <w:szCs w:val="21"/>
          <w:shd w:val="clear" w:color="auto" w:fill="auto"/>
          <w:lang w:val="en-US" w:eastAsia="zh-CN"/>
        </w:rPr>
        <w:t>9.2</w:t>
      </w:r>
      <w:r>
        <w:rPr>
          <w:rFonts w:ascii="Times New Roman" w:hAnsi="Times New Roman" w:cs="Times New Roman"/>
          <w:b/>
          <w:color w:val="auto"/>
          <w:sz w:val="21"/>
          <w:szCs w:val="21"/>
          <w:shd w:val="clear" w:color="auto" w:fill="auto"/>
        </w:rPr>
        <w:t>-2 建设项目竣工环境保护验收公众意见调查表</w:t>
      </w:r>
    </w:p>
    <w:tbl>
      <w:tblPr>
        <w:tblStyle w:val="16"/>
        <w:tblW w:w="880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 w:type="dxa"/>
          <w:bottom w:w="0" w:type="dxa"/>
          <w:right w:w="10" w:type="dxa"/>
        </w:tblCellMar>
      </w:tblPr>
      <w:tblGrid>
        <w:gridCol w:w="1199"/>
        <w:gridCol w:w="469"/>
        <w:gridCol w:w="670"/>
        <w:gridCol w:w="1478"/>
        <w:gridCol w:w="293"/>
        <w:gridCol w:w="787"/>
        <w:gridCol w:w="475"/>
        <w:gridCol w:w="680"/>
        <w:gridCol w:w="961"/>
        <w:gridCol w:w="1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 w:type="dxa"/>
            <w:bottom w:w="0" w:type="dxa"/>
            <w:right w:w="10" w:type="dxa"/>
          </w:tblCellMar>
        </w:tblPrEx>
        <w:trPr>
          <w:trHeight w:val="454" w:hRule="atLeast"/>
          <w:jc w:val="center"/>
        </w:trPr>
        <w:tc>
          <w:tcPr>
            <w:tcW w:w="1199"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姓名</w:t>
            </w:r>
          </w:p>
        </w:tc>
        <w:tc>
          <w:tcPr>
            <w:tcW w:w="1139"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tc>
        <w:tc>
          <w:tcPr>
            <w:tcW w:w="1478"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性别</w:t>
            </w:r>
          </w:p>
        </w:tc>
        <w:tc>
          <w:tcPr>
            <w:tcW w:w="1080"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tc>
        <w:tc>
          <w:tcPr>
            <w:tcW w:w="1155"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年龄</w:t>
            </w:r>
          </w:p>
        </w:tc>
        <w:tc>
          <w:tcPr>
            <w:tcW w:w="2758"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54" w:hRule="atLeast"/>
          <w:jc w:val="center"/>
        </w:trPr>
        <w:tc>
          <w:tcPr>
            <w:tcW w:w="1199"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职业</w:t>
            </w:r>
          </w:p>
        </w:tc>
        <w:tc>
          <w:tcPr>
            <w:tcW w:w="1139"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tc>
        <w:tc>
          <w:tcPr>
            <w:tcW w:w="1478"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受教育程度</w:t>
            </w:r>
          </w:p>
        </w:tc>
        <w:tc>
          <w:tcPr>
            <w:tcW w:w="1080"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tc>
        <w:tc>
          <w:tcPr>
            <w:tcW w:w="1155"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联系方式</w:t>
            </w:r>
          </w:p>
        </w:tc>
        <w:tc>
          <w:tcPr>
            <w:tcW w:w="2758"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54" w:hRule="atLeast"/>
          <w:jc w:val="center"/>
        </w:trPr>
        <w:tc>
          <w:tcPr>
            <w:tcW w:w="1199"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居住地址</w:t>
            </w:r>
          </w:p>
        </w:tc>
        <w:tc>
          <w:tcPr>
            <w:tcW w:w="7610" w:type="dxa"/>
            <w:gridSpan w:val="9"/>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1144" w:hRule="atLeast"/>
          <w:jc w:val="center"/>
        </w:trPr>
        <w:tc>
          <w:tcPr>
            <w:tcW w:w="1199"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项目</w:t>
            </w: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基本情况</w:t>
            </w:r>
          </w:p>
        </w:tc>
        <w:tc>
          <w:tcPr>
            <w:tcW w:w="7610" w:type="dxa"/>
            <w:gridSpan w:val="9"/>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420" w:firstLineChars="200"/>
              <w:jc w:val="left"/>
              <w:textAlignment w:val="auto"/>
              <w:outlineLvl w:val="9"/>
              <w:rPr>
                <w:rFonts w:hint="default" w:ascii="Times New Roman" w:hAnsi="Times New Roman" w:eastAsia="宋体" w:cs="Times New Roman"/>
                <w:color w:val="auto"/>
                <w:spacing w:val="4"/>
                <w:kern w:val="1"/>
                <w:sz w:val="21"/>
                <w:szCs w:val="21"/>
                <w:shd w:val="clear" w:color="auto" w:fill="auto"/>
              </w:rPr>
            </w:pPr>
            <w:r>
              <w:rPr>
                <w:rFonts w:hint="default" w:ascii="Times New Roman" w:hAnsi="Times New Roman" w:eastAsia="宋体" w:cs="Times New Roman"/>
                <w:color w:val="auto"/>
                <w:sz w:val="21"/>
                <w:szCs w:val="21"/>
                <w:shd w:val="clear" w:color="auto" w:fill="auto"/>
              </w:rPr>
              <w:t>池州市贵池区姚街铅锌矿年产2万吨铅锌矿石原矿采矿技改整合扩建工程项目，原为池州市贵池区姚街铅锌矿和池州市贵池区姚街第二铅锌矿，</w:t>
            </w:r>
            <w:r>
              <w:rPr>
                <w:rFonts w:hint="default" w:ascii="Times New Roman" w:hAnsi="Times New Roman" w:cs="Times New Roman"/>
                <w:color w:val="auto"/>
                <w:sz w:val="21"/>
                <w:szCs w:val="21"/>
                <w:shd w:val="clear" w:color="auto" w:fill="auto"/>
              </w:rPr>
              <w:t>为姚街村所属集体企业，</w:t>
            </w:r>
            <w:r>
              <w:rPr>
                <w:rFonts w:hint="default" w:ascii="Times New Roman" w:hAnsi="Times New Roman" w:cs="Times New Roman"/>
                <w:color w:val="auto"/>
                <w:sz w:val="21"/>
                <w:szCs w:val="21"/>
                <w:shd w:val="clear" w:color="auto" w:fill="auto"/>
                <w:lang w:eastAsia="zh-CN"/>
              </w:rPr>
              <w:t>均已</w:t>
            </w:r>
            <w:r>
              <w:rPr>
                <w:rFonts w:hint="default" w:ascii="Times New Roman" w:hAnsi="Times New Roman" w:cs="Times New Roman"/>
                <w:color w:val="auto"/>
                <w:sz w:val="21"/>
                <w:szCs w:val="21"/>
                <w:shd w:val="clear" w:color="auto" w:fill="auto"/>
              </w:rPr>
              <w:t>取得池州市贵池区姚街铅锌矿采矿权</w:t>
            </w:r>
            <w:r>
              <w:rPr>
                <w:rFonts w:hint="default" w:ascii="Times New Roman" w:hAnsi="Times New Roman" w:cs="Times New Roman"/>
                <w:color w:val="auto"/>
                <w:sz w:val="21"/>
                <w:szCs w:val="21"/>
                <w:shd w:val="clear" w:color="auto" w:fill="auto"/>
                <w:lang w:eastAsia="zh-CN"/>
              </w:rPr>
              <w:t>，</w:t>
            </w:r>
            <w:r>
              <w:rPr>
                <w:rFonts w:hint="default" w:ascii="Times New Roman" w:hAnsi="Times New Roman" w:cs="Times New Roman"/>
                <w:color w:val="auto"/>
                <w:sz w:val="21"/>
                <w:szCs w:val="21"/>
                <w:shd w:val="clear" w:color="auto" w:fill="auto"/>
              </w:rPr>
              <w:t>本项目为改扩建工程，设计开采规模为2万t/a</w:t>
            </w:r>
            <w:r>
              <w:rPr>
                <w:rFonts w:hint="default" w:ascii="Times New Roman" w:hAnsi="Times New Roman" w:cs="Times New Roman"/>
                <w:color w:val="auto"/>
                <w:sz w:val="21"/>
                <w:szCs w:val="21"/>
                <w:shd w:val="clear" w:color="auto" w:fill="auto"/>
                <w:lang w:eastAsia="zh-CN"/>
              </w:rPr>
              <w:t>。</w:t>
            </w:r>
            <w:r>
              <w:rPr>
                <w:rFonts w:hint="default" w:ascii="Times New Roman" w:hAnsi="Times New Roman" w:cs="Times New Roman"/>
                <w:color w:val="auto"/>
                <w:sz w:val="21"/>
                <w:szCs w:val="21"/>
                <w:shd w:val="clear" w:color="auto" w:fill="auto"/>
              </w:rPr>
              <w:t>建设内容包括通风系统、巷道开拓工程、公用工程</w:t>
            </w:r>
            <w:r>
              <w:rPr>
                <w:rFonts w:hint="default" w:ascii="Times New Roman" w:hAnsi="Times New Roman" w:cs="Times New Roman"/>
                <w:color w:val="auto"/>
                <w:sz w:val="21"/>
                <w:szCs w:val="21"/>
                <w:shd w:val="clear" w:color="auto" w:fill="auto"/>
                <w:lang w:eastAsia="zh-CN"/>
              </w:rPr>
              <w:t>、</w:t>
            </w:r>
            <w:r>
              <w:rPr>
                <w:rFonts w:hint="default" w:ascii="Times New Roman" w:hAnsi="Times New Roman" w:cs="Times New Roman"/>
                <w:color w:val="auto"/>
                <w:sz w:val="21"/>
                <w:szCs w:val="21"/>
                <w:shd w:val="clear" w:color="auto" w:fill="auto"/>
              </w:rPr>
              <w:t>环保工程；开采的原矿石送东北约500m的池州市世源矿业发展有限公司选矿厂（设计洗选能力6万t/a）集中洗选。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7" w:hRule="atLeast"/>
          <w:jc w:val="center"/>
        </w:trPr>
        <w:tc>
          <w:tcPr>
            <w:tcW w:w="1199" w:type="dxa"/>
            <w:vMerge w:val="restart"/>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调查内容</w:t>
            </w:r>
          </w:p>
        </w:tc>
        <w:tc>
          <w:tcPr>
            <w:tcW w:w="469" w:type="dxa"/>
            <w:vMerge w:val="restart"/>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施工期</w:t>
            </w: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噪声对您的影响程度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34"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扬尘对您的影响程度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40"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废水对您的影响程度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46"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是否有扰民现象或纠纷</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有</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没有</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23"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469" w:type="dxa"/>
            <w:vMerge w:val="restart"/>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试生产期</w:t>
            </w: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废气对您的影响程度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44"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废水对您的影响程度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449"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噪声对您的影响程度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842"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固体废物储运及处理处置对您的影响程度</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没有影响</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影响较轻</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影响较重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767"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46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2441" w:type="dxa"/>
            <w:gridSpan w:val="3"/>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是否发生过环境污染事故（如有，请注明原因）</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有</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没有</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1152" w:hRule="atLeast"/>
          <w:jc w:val="center"/>
        </w:trPr>
        <w:tc>
          <w:tcPr>
            <w:tcW w:w="1199" w:type="dxa"/>
            <w:vMerge w:val="continue"/>
            <w:shd w:val="clear" w:color="auto" w:fill="auto"/>
            <w:tcMar>
              <w:left w:w="108" w:type="dxa"/>
              <w:right w:w="108" w:type="dxa"/>
            </w:tcMar>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400" w:lineRule="exact"/>
              <w:ind w:left="0" w:leftChars="0" w:right="0" w:rightChars="0" w:firstLine="0" w:firstLineChars="0"/>
              <w:textAlignment w:val="auto"/>
              <w:outlineLvl w:val="9"/>
              <w:rPr>
                <w:rFonts w:hint="default" w:ascii="Times New Roman" w:hAnsi="Times New Roman" w:cs="Times New Roman"/>
                <w:color w:val="auto"/>
                <w:sz w:val="20"/>
                <w:szCs w:val="20"/>
                <w:shd w:val="clear" w:color="auto" w:fill="auto"/>
              </w:rPr>
            </w:pPr>
          </w:p>
        </w:tc>
        <w:tc>
          <w:tcPr>
            <w:tcW w:w="2910" w:type="dxa"/>
            <w:gridSpan w:val="4"/>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您对该公司本项目的环境保护工作满意程度（如不满意请在意见和建议中注明原因）</w:t>
            </w:r>
          </w:p>
        </w:tc>
        <w:tc>
          <w:tcPr>
            <w:tcW w:w="1262"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满意</w:t>
            </w:r>
          </w:p>
        </w:tc>
        <w:tc>
          <w:tcPr>
            <w:tcW w:w="1641" w:type="dxa"/>
            <w:gridSpan w:val="2"/>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较满意</w:t>
            </w:r>
          </w:p>
        </w:tc>
        <w:tc>
          <w:tcPr>
            <w:tcW w:w="1797" w:type="dxa"/>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Ex>
        <w:trPr>
          <w:trHeight w:val="2940" w:hRule="atLeast"/>
          <w:jc w:val="center"/>
        </w:trPr>
        <w:tc>
          <w:tcPr>
            <w:tcW w:w="1199" w:type="dxa"/>
            <w:shd w:val="clear" w:color="auto" w:fill="auto"/>
            <w:tcMar>
              <w:left w:w="57" w:type="dxa"/>
              <w:right w:w="57"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r>
              <w:rPr>
                <w:rFonts w:hint="default" w:ascii="Times New Roman" w:hAnsi="Times New Roman" w:eastAsia="宋体" w:cs="Times New Roman"/>
                <w:color w:val="auto"/>
                <w:kern w:val="1"/>
                <w:sz w:val="21"/>
                <w:szCs w:val="21"/>
                <w:shd w:val="clear" w:color="auto" w:fill="auto"/>
                <w:lang w:val="en-US" w:eastAsia="zh-CN" w:bidi="ar"/>
              </w:rPr>
              <w:t>您对该项目的建设还有什么意见和建议</w:t>
            </w:r>
          </w:p>
        </w:tc>
        <w:tc>
          <w:tcPr>
            <w:tcW w:w="7610" w:type="dxa"/>
            <w:gridSpan w:val="9"/>
            <w:shd w:val="clear" w:color="auto" w:fill="auto"/>
            <w:tcMar>
              <w:left w:w="108" w:type="dxa"/>
              <w:right w:w="108" w:type="dxa"/>
            </w:tcMar>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shd w:val="clear" w:color="auto" w:fill="auto"/>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00" w:lineRule="exact"/>
              <w:ind w:left="0" w:leftChars="0" w:right="0" w:rightChars="0" w:firstLine="0" w:firstLineChars="0"/>
              <w:jc w:val="both"/>
              <w:textAlignment w:val="auto"/>
              <w:outlineLvl w:val="9"/>
              <w:rPr>
                <w:rFonts w:hint="default" w:ascii="Times New Roman" w:hAnsi="Times New Roman" w:eastAsia="宋体" w:cs="Times New Roman"/>
                <w:color w:val="auto"/>
                <w:kern w:val="1"/>
                <w:sz w:val="21"/>
                <w:szCs w:val="21"/>
                <w:shd w:val="clear" w:color="auto" w:fill="auto"/>
              </w:rPr>
            </w:pPr>
          </w:p>
        </w:tc>
      </w:tr>
    </w:tbl>
    <w:p>
      <w:pPr>
        <w:pStyle w:val="23"/>
        <w:jc w:val="center"/>
        <w:rPr>
          <w:rFonts w:ascii="Times New Roman" w:hAnsi="Times New Roman" w:cs="Times New Roman"/>
          <w:b/>
          <w:color w:val="auto"/>
          <w:sz w:val="21"/>
          <w:szCs w:val="21"/>
          <w:shd w:val="clear" w:color="auto" w:fill="auto"/>
        </w:rPr>
      </w:pPr>
      <w:r>
        <w:rPr>
          <w:rFonts w:ascii="Times New Roman" w:hAnsi="Times New Roman" w:cs="Times New Roman"/>
          <w:b/>
          <w:color w:val="auto"/>
          <w:sz w:val="21"/>
          <w:szCs w:val="21"/>
          <w:shd w:val="clear" w:color="auto" w:fill="auto"/>
        </w:rPr>
        <w:t>表</w:t>
      </w:r>
      <w:r>
        <w:rPr>
          <w:rFonts w:hint="eastAsia" w:cs="Times New Roman"/>
          <w:b/>
          <w:color w:val="auto"/>
          <w:sz w:val="21"/>
          <w:szCs w:val="21"/>
          <w:shd w:val="clear" w:color="auto" w:fill="auto"/>
          <w:lang w:val="en-US" w:eastAsia="zh-CN"/>
        </w:rPr>
        <w:t>9.2</w:t>
      </w:r>
      <w:r>
        <w:rPr>
          <w:rFonts w:ascii="Times New Roman" w:hAnsi="Times New Roman" w:cs="Times New Roman"/>
          <w:b/>
          <w:color w:val="auto"/>
          <w:sz w:val="21"/>
          <w:szCs w:val="21"/>
          <w:shd w:val="clear" w:color="auto" w:fill="auto"/>
        </w:rPr>
        <w:t>-3 公众参与调查统计结果</w:t>
      </w:r>
    </w:p>
    <w:tbl>
      <w:tblPr>
        <w:tblStyle w:val="16"/>
        <w:tblW w:w="8579" w:type="dxa"/>
        <w:jc w:val="center"/>
        <w:tblInd w:w="10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447"/>
        <w:gridCol w:w="1062"/>
        <w:gridCol w:w="3275"/>
        <w:gridCol w:w="1264"/>
        <w:gridCol w:w="602"/>
        <w:gridCol w:w="662"/>
        <w:gridCol w:w="126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397" w:hRule="atLeast"/>
          <w:jc w:val="center"/>
        </w:trPr>
        <w:tc>
          <w:tcPr>
            <w:tcW w:w="4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个</w:t>
            </w: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人</w:t>
            </w: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概</w:t>
            </w: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况</w:t>
            </w:r>
          </w:p>
        </w:tc>
        <w:tc>
          <w:tcPr>
            <w:tcW w:w="433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性别</w:t>
            </w:r>
          </w:p>
        </w:tc>
        <w:tc>
          <w:tcPr>
            <w:tcW w:w="186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男</w:t>
            </w:r>
          </w:p>
        </w:tc>
        <w:tc>
          <w:tcPr>
            <w:tcW w:w="192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433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选择项占百分比（%）</w:t>
            </w:r>
          </w:p>
        </w:tc>
        <w:tc>
          <w:tcPr>
            <w:tcW w:w="186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90</w:t>
            </w:r>
          </w:p>
        </w:tc>
        <w:tc>
          <w:tcPr>
            <w:tcW w:w="192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433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文化程度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eastAsia" w:cs="Times New Roman"/>
                <w:color w:val="auto"/>
                <w:kern w:val="1"/>
                <w:sz w:val="21"/>
                <w:szCs w:val="21"/>
                <w:lang w:val="en-US" w:eastAsia="zh-CN" w:bidi="ar"/>
              </w:rPr>
              <w:t>小学</w:t>
            </w:r>
            <w:r>
              <w:rPr>
                <w:rFonts w:hint="default" w:ascii="Times New Roman" w:hAnsi="Times New Roman" w:eastAsia="宋体" w:cs="Times New Roman"/>
                <w:color w:val="auto"/>
                <w:kern w:val="1"/>
                <w:sz w:val="21"/>
                <w:szCs w:val="21"/>
                <w:lang w:val="en-US" w:eastAsia="zh-CN" w:bidi="ar"/>
              </w:rPr>
              <w:t>及以下</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eastAsia" w:cs="Times New Roman"/>
                <w:color w:val="auto"/>
                <w:kern w:val="1"/>
                <w:sz w:val="21"/>
                <w:szCs w:val="21"/>
                <w:lang w:val="en-US" w:eastAsia="zh-CN" w:bidi="ar"/>
              </w:rPr>
              <w:t>初中</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eastAsia" w:cs="Times New Roman"/>
                <w:color w:val="auto"/>
                <w:kern w:val="1"/>
                <w:sz w:val="21"/>
                <w:szCs w:val="21"/>
                <w:lang w:val="en-US" w:eastAsia="zh-CN" w:bidi="ar"/>
              </w:rPr>
              <w:t>高中</w:t>
            </w:r>
            <w:r>
              <w:rPr>
                <w:rFonts w:hint="default" w:ascii="Times New Roman" w:hAnsi="Times New Roman" w:eastAsia="宋体" w:cs="Times New Roman"/>
                <w:color w:val="auto"/>
                <w:kern w:val="1"/>
                <w:sz w:val="21"/>
                <w:szCs w:val="21"/>
                <w:lang w:val="en-US" w:eastAsia="zh-CN" w:bidi="ar"/>
              </w:rPr>
              <w:t>及以上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433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选择项占百分比（%）</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5</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60</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调</w:t>
            </w: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查</w:t>
            </w: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内</w:t>
            </w: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容</w:t>
            </w:r>
          </w:p>
        </w:tc>
        <w:tc>
          <w:tcPr>
            <w:tcW w:w="106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施工期</w:t>
            </w: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1"/>
                <w:sz w:val="21"/>
                <w:szCs w:val="21"/>
                <w:lang w:val="en-US" w:eastAsia="zh-CN" w:bidi="ar"/>
              </w:rPr>
              <w:t>1、项目噪声对你的影响程度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20</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2、项目扬尘对你的影响程度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20</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3、项目废水对你的影响程度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19</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1</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4、项目是否有扰民现象或纠纷</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无</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20</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试生产期</w:t>
            </w: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5、项目废气对你的影响程度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19</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1</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6、项目废水对你的影响程度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17</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3</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7、项目噪声对你的影响程度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20</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8、项目固体废物储运及处理处置对 你的影响程度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较轻</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20</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9、项目是否与您发生过环境污染事 故（如有请注明）</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有</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没有</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106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32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20</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433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10、您对该公司本项目的环境保护工作满意程度</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满意</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较满意</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不满意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4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textAlignment w:val="auto"/>
              <w:outlineLvl w:val="9"/>
              <w:rPr>
                <w:rFonts w:hint="default" w:ascii="Times New Roman" w:hAnsi="Times New Roman" w:eastAsia="宋体" w:cs="Times New Roman"/>
                <w:color w:val="auto"/>
                <w:sz w:val="21"/>
                <w:szCs w:val="21"/>
              </w:rPr>
            </w:pPr>
          </w:p>
        </w:tc>
        <w:tc>
          <w:tcPr>
            <w:tcW w:w="433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1"/>
                <w:sz w:val="21"/>
                <w:szCs w:val="21"/>
              </w:rPr>
            </w:pPr>
            <w:r>
              <w:rPr>
                <w:rFonts w:hint="default" w:ascii="Times New Roman" w:hAnsi="Times New Roman" w:eastAsia="宋体" w:cs="Times New Roman"/>
                <w:color w:val="auto"/>
                <w:kern w:val="1"/>
                <w:sz w:val="21"/>
                <w:szCs w:val="21"/>
                <w:lang w:val="en-US" w:eastAsia="zh-CN" w:bidi="ar"/>
              </w:rPr>
              <w:t>各选择项人数统计</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4</w:t>
            </w:r>
          </w:p>
        </w:tc>
        <w:tc>
          <w:tcPr>
            <w:tcW w:w="126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16</w:t>
            </w:r>
          </w:p>
        </w:tc>
        <w:tc>
          <w:tcPr>
            <w:tcW w:w="12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1"/>
                <w:sz w:val="21"/>
                <w:szCs w:val="21"/>
                <w:lang w:val="en-US" w:eastAsia="zh-CN"/>
              </w:rPr>
            </w:pPr>
            <w:r>
              <w:rPr>
                <w:rFonts w:hint="eastAsia" w:cs="Times New Roman"/>
                <w:color w:val="auto"/>
                <w:kern w:val="1"/>
                <w:sz w:val="21"/>
                <w:szCs w:val="21"/>
                <w:lang w:val="en-US" w:eastAsia="zh-CN"/>
              </w:rPr>
              <w:t>0</w:t>
            </w:r>
          </w:p>
        </w:tc>
      </w:tr>
    </w:tbl>
    <w:p>
      <w:pPr>
        <w:pStyle w:val="4"/>
        <w:rPr>
          <w:rFonts w:ascii="宋体" w:hAnsi="宋体"/>
          <w:bCs/>
          <w:color w:val="auto"/>
          <w:shd w:val="clear" w:color="auto" w:fill="auto"/>
        </w:rPr>
      </w:pPr>
      <w:bookmarkStart w:id="454" w:name="_Toc19065"/>
      <w:bookmarkStart w:id="455" w:name="_Toc2644"/>
      <w:bookmarkStart w:id="456" w:name="_Toc17593"/>
      <w:bookmarkStart w:id="457" w:name="_Toc19237"/>
      <w:bookmarkStart w:id="458" w:name="_Toc11423"/>
      <w:r>
        <w:rPr>
          <w:rFonts w:hint="eastAsia"/>
          <w:color w:val="auto"/>
          <w:lang w:val="en-US" w:eastAsia="zh-CN"/>
        </w:rPr>
        <w:t>9</w:t>
      </w:r>
      <w:r>
        <w:rPr>
          <w:color w:val="auto"/>
        </w:rPr>
        <w:t>.3</w:t>
      </w:r>
      <w:r>
        <w:rPr>
          <w:rFonts w:hint="eastAsia"/>
          <w:color w:val="auto"/>
        </w:rPr>
        <w:t xml:space="preserve"> </w:t>
      </w:r>
      <w:r>
        <w:rPr>
          <w:color w:val="auto"/>
        </w:rPr>
        <w:t>公众意见调查结果分析</w:t>
      </w:r>
      <w:bookmarkEnd w:id="454"/>
      <w:bookmarkEnd w:id="455"/>
      <w:bookmarkEnd w:id="456"/>
      <w:bookmarkEnd w:id="457"/>
      <w:bookmarkEnd w:id="458"/>
    </w:p>
    <w:p>
      <w:pPr>
        <w:tabs>
          <w:tab w:val="left" w:pos="457"/>
        </w:tabs>
        <w:ind w:firstLine="480"/>
        <w:rPr>
          <w:rFonts w:hint="eastAsia" w:ascii="宋体" w:hAnsi="宋体"/>
          <w:color w:val="auto"/>
          <w:shd w:val="clear" w:color="auto" w:fill="auto"/>
          <w:lang w:eastAsia="zh-CN"/>
        </w:rPr>
      </w:pPr>
      <w:r>
        <w:rPr>
          <w:rFonts w:hint="eastAsia" w:ascii="宋体" w:hAnsi="宋体"/>
          <w:color w:val="auto"/>
          <w:shd w:val="clear" w:color="auto" w:fill="auto"/>
          <w:lang w:eastAsia="zh-CN"/>
        </w:rPr>
        <w:t>本次公众意见调查表共发</w:t>
      </w:r>
      <w:r>
        <w:rPr>
          <w:rFonts w:hint="default" w:ascii="Times New Roman" w:hAnsi="Times New Roman" w:cs="Times New Roman"/>
          <w:color w:val="auto"/>
          <w:shd w:val="clear" w:color="auto" w:fill="auto"/>
          <w:lang w:eastAsia="zh-CN"/>
        </w:rPr>
        <w:t>放</w:t>
      </w:r>
      <w:r>
        <w:rPr>
          <w:rFonts w:hint="eastAsia" w:cs="Times New Roman"/>
          <w:color w:val="auto"/>
          <w:shd w:val="clear" w:color="auto" w:fill="auto"/>
          <w:lang w:val="en-US" w:eastAsia="zh-CN"/>
        </w:rPr>
        <w:t>20</w:t>
      </w:r>
      <w:r>
        <w:rPr>
          <w:rFonts w:hint="default" w:ascii="Times New Roman" w:hAnsi="Times New Roman" w:cs="Times New Roman"/>
          <w:color w:val="auto"/>
          <w:shd w:val="clear" w:color="auto" w:fill="auto"/>
          <w:lang w:val="en-US" w:eastAsia="zh-CN"/>
        </w:rPr>
        <w:t>份，收回</w:t>
      </w:r>
      <w:r>
        <w:rPr>
          <w:rFonts w:hint="eastAsia" w:cs="Times New Roman"/>
          <w:color w:val="auto"/>
          <w:shd w:val="clear" w:color="auto" w:fill="auto"/>
          <w:lang w:val="en-US" w:eastAsia="zh-CN"/>
        </w:rPr>
        <w:t>20</w:t>
      </w:r>
      <w:r>
        <w:rPr>
          <w:rFonts w:hint="default" w:ascii="Times New Roman" w:hAnsi="Times New Roman" w:cs="Times New Roman"/>
          <w:color w:val="auto"/>
          <w:shd w:val="clear" w:color="auto" w:fill="auto"/>
          <w:lang w:val="en-US" w:eastAsia="zh-CN"/>
        </w:rPr>
        <w:t>份</w:t>
      </w:r>
      <w:r>
        <w:rPr>
          <w:rFonts w:hint="eastAsia" w:cs="Times New Roman"/>
          <w:color w:val="auto"/>
          <w:shd w:val="clear" w:color="auto" w:fill="auto"/>
          <w:lang w:val="en-US" w:eastAsia="zh-CN"/>
        </w:rPr>
        <w:t>，收回率100%。</w:t>
      </w:r>
      <w:r>
        <w:rPr>
          <w:rFonts w:hint="eastAsia" w:ascii="宋体" w:hAnsi="宋体"/>
          <w:color w:val="auto"/>
          <w:shd w:val="clear" w:color="auto" w:fill="auto"/>
        </w:rPr>
        <w:t>通过公众参与调查统计结果得出</w:t>
      </w:r>
      <w:r>
        <w:rPr>
          <w:rFonts w:hint="eastAsia" w:ascii="宋体" w:hAnsi="宋体"/>
          <w:color w:val="auto"/>
          <w:shd w:val="clear" w:color="auto" w:fill="auto"/>
          <w:lang w:eastAsia="zh-CN"/>
        </w:rPr>
        <w:t>：</w:t>
      </w:r>
      <w:r>
        <w:rPr>
          <w:rFonts w:hint="eastAsia" w:ascii="宋体" w:hAnsi="宋体"/>
          <w:color w:val="auto"/>
          <w:shd w:val="clear" w:color="auto" w:fill="auto"/>
        </w:rPr>
        <w:t>施工期</w:t>
      </w:r>
      <w:r>
        <w:rPr>
          <w:rFonts w:hint="eastAsia" w:ascii="宋体" w:hAnsi="宋体"/>
          <w:color w:val="auto"/>
          <w:shd w:val="clear" w:color="auto" w:fill="auto"/>
          <w:lang w:eastAsia="zh-CN"/>
        </w:rPr>
        <w:t>该项目无扰民现象或纠纷；</w:t>
      </w:r>
      <w:r>
        <w:rPr>
          <w:rFonts w:hint="eastAsia" w:ascii="宋体" w:hAnsi="宋体"/>
          <w:color w:val="auto"/>
          <w:shd w:val="clear" w:color="auto" w:fill="auto"/>
        </w:rPr>
        <w:t>试生产期</w:t>
      </w:r>
      <w:r>
        <w:rPr>
          <w:rFonts w:hint="eastAsia" w:ascii="宋体" w:hAnsi="宋体"/>
          <w:color w:val="auto"/>
          <w:shd w:val="clear" w:color="auto" w:fill="auto"/>
          <w:lang w:eastAsia="zh-CN"/>
        </w:rPr>
        <w:t>无环境污染事故发生。</w:t>
      </w:r>
    </w:p>
    <w:p>
      <w:pPr>
        <w:ind w:firstLine="480" w:firstLineChars="200"/>
        <w:rPr>
          <w:rFonts w:hint="eastAsia" w:ascii="宋体" w:hAnsi="宋体"/>
          <w:color w:val="auto"/>
          <w:shd w:val="clear" w:color="auto" w:fil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宋体" w:hAnsi="宋体"/>
          <w:color w:val="auto"/>
          <w:shd w:val="clear" w:color="auto" w:fill="auto"/>
        </w:rPr>
        <w:t>各</w:t>
      </w:r>
      <w:r>
        <w:rPr>
          <w:rFonts w:hint="default" w:ascii="Times New Roman" w:hAnsi="Times New Roman" w:cs="Times New Roman"/>
          <w:color w:val="auto"/>
          <w:shd w:val="clear" w:color="auto" w:fill="auto"/>
        </w:rPr>
        <w:t>种污染的影响程度</w:t>
      </w:r>
      <w:r>
        <w:rPr>
          <w:rFonts w:hint="default" w:ascii="Times New Roman" w:hAnsi="Times New Roman" w:cs="Times New Roman"/>
          <w:color w:val="auto"/>
          <w:shd w:val="clear" w:color="auto" w:fill="auto"/>
          <w:lang w:eastAsia="zh-CN"/>
        </w:rPr>
        <w:t>：</w:t>
      </w:r>
      <w:r>
        <w:rPr>
          <w:rFonts w:hint="default" w:ascii="Times New Roman" w:hAnsi="Times New Roman" w:cs="Times New Roman"/>
          <w:color w:val="auto"/>
          <w:shd w:val="clear" w:color="auto" w:fill="auto"/>
        </w:rPr>
        <w:t>所有人都认为没有影响或者影响较轻；</w:t>
      </w:r>
      <w:r>
        <w:rPr>
          <w:rFonts w:hint="default" w:ascii="Times New Roman" w:hAnsi="Times New Roman" w:cs="Times New Roman"/>
          <w:color w:val="auto"/>
          <w:shd w:val="clear" w:color="auto" w:fill="auto"/>
          <w:lang w:val="en-US" w:eastAsia="zh-CN"/>
        </w:rPr>
        <w:t>参与调查的20人中，4人对</w:t>
      </w:r>
      <w:r>
        <w:rPr>
          <w:rFonts w:hint="default" w:ascii="Times New Roman" w:hAnsi="Times New Roman" w:cs="Times New Roman"/>
          <w:color w:val="auto"/>
          <w:shd w:val="clear" w:color="auto" w:fill="auto"/>
        </w:rPr>
        <w:t>该项目的环境保护工作表示满意</w:t>
      </w:r>
      <w:r>
        <w:rPr>
          <w:rFonts w:hint="default" w:ascii="Times New Roman" w:hAnsi="Times New Roman" w:cs="Times New Roman"/>
          <w:color w:val="auto"/>
          <w:shd w:val="clear" w:color="auto" w:fill="auto"/>
          <w:lang w:eastAsia="zh-CN"/>
        </w:rPr>
        <w:t>，</w:t>
      </w:r>
      <w:r>
        <w:rPr>
          <w:rFonts w:hint="eastAsia" w:cs="Times New Roman"/>
          <w:color w:val="auto"/>
          <w:shd w:val="clear" w:color="auto" w:fill="auto"/>
          <w:lang w:val="en-US" w:eastAsia="zh-CN"/>
        </w:rPr>
        <w:t>16</w:t>
      </w:r>
      <w:r>
        <w:rPr>
          <w:rFonts w:hint="default" w:ascii="Times New Roman" w:hAnsi="Times New Roman" w:cs="Times New Roman"/>
          <w:color w:val="auto"/>
          <w:shd w:val="clear" w:color="auto" w:fill="auto"/>
          <w:lang w:val="en-US" w:eastAsia="zh-CN"/>
        </w:rPr>
        <w:t>人表示</w:t>
      </w:r>
      <w:r>
        <w:rPr>
          <w:rFonts w:hint="default" w:ascii="Times New Roman" w:hAnsi="Times New Roman" w:cs="Times New Roman"/>
          <w:color w:val="auto"/>
          <w:shd w:val="clear" w:color="auto" w:fill="auto"/>
        </w:rPr>
        <w:t>较满意</w:t>
      </w:r>
      <w:r>
        <w:rPr>
          <w:rFonts w:hint="eastAsia" w:ascii="宋体" w:hAnsi="宋体"/>
          <w:color w:val="auto"/>
          <w:shd w:val="clear" w:color="auto" w:fill="auto"/>
        </w:rPr>
        <w:t>，没有出现不满意的情况。其</w:t>
      </w:r>
      <w:r>
        <w:rPr>
          <w:rFonts w:hint="eastAsia" w:ascii="宋体" w:hAnsi="宋体"/>
          <w:color w:val="auto"/>
          <w:shd w:val="clear" w:color="auto" w:fill="auto"/>
          <w:lang w:eastAsia="zh-CN"/>
        </w:rPr>
        <w:t>原因</w:t>
      </w:r>
      <w:r>
        <w:rPr>
          <w:rFonts w:hint="eastAsia" w:ascii="宋体" w:hAnsi="宋体"/>
          <w:color w:val="auto"/>
          <w:shd w:val="clear" w:color="auto" w:fill="auto"/>
        </w:rPr>
        <w:t>是</w:t>
      </w:r>
      <w:r>
        <w:rPr>
          <w:rFonts w:hint="eastAsia" w:ascii="宋体" w:hAnsi="宋体"/>
          <w:color w:val="auto"/>
          <w:shd w:val="clear" w:color="auto" w:fill="auto"/>
          <w:lang w:eastAsia="zh-CN"/>
        </w:rPr>
        <w:t>：</w:t>
      </w:r>
      <w:r>
        <w:rPr>
          <w:rFonts w:hint="eastAsia" w:ascii="宋体" w:hAnsi="宋体"/>
          <w:color w:val="auto"/>
          <w:shd w:val="clear" w:color="auto" w:fill="auto"/>
        </w:rPr>
        <w:t>工程前期准备工作较为充分，</w:t>
      </w:r>
      <w:r>
        <w:rPr>
          <w:rFonts w:hint="eastAsia" w:ascii="宋体" w:hAnsi="宋体"/>
          <w:color w:val="auto"/>
          <w:shd w:val="clear" w:color="auto" w:fill="auto"/>
          <w:lang w:eastAsia="zh-CN"/>
        </w:rPr>
        <w:t>各项环保措施</w:t>
      </w:r>
      <w:r>
        <w:rPr>
          <w:rFonts w:hint="eastAsia" w:ascii="宋体" w:hAnsi="宋体"/>
          <w:color w:val="auto"/>
          <w:shd w:val="clear" w:color="auto" w:fill="auto"/>
          <w:lang w:val="en-US" w:eastAsia="zh-CN"/>
        </w:rPr>
        <w:t>实施</w:t>
      </w:r>
      <w:r>
        <w:rPr>
          <w:rFonts w:hint="eastAsia" w:ascii="宋体" w:hAnsi="宋体"/>
          <w:color w:val="auto"/>
          <w:shd w:val="clear" w:color="auto" w:fill="auto"/>
          <w:lang w:eastAsia="zh-CN"/>
        </w:rPr>
        <w:t>到位，对</w:t>
      </w:r>
      <w:r>
        <w:rPr>
          <w:rFonts w:hint="eastAsia" w:ascii="宋体" w:hAnsi="宋体"/>
          <w:color w:val="auto"/>
          <w:shd w:val="clear" w:color="auto" w:fill="auto"/>
        </w:rPr>
        <w:t>周围人民群众</w:t>
      </w:r>
      <w:r>
        <w:rPr>
          <w:rFonts w:hint="eastAsia" w:ascii="宋体" w:hAnsi="宋体"/>
          <w:color w:val="auto"/>
          <w:shd w:val="clear" w:color="auto" w:fill="auto"/>
          <w:lang w:eastAsia="zh-CN"/>
        </w:rPr>
        <w:t>的</w:t>
      </w:r>
      <w:r>
        <w:rPr>
          <w:rFonts w:hint="eastAsia" w:ascii="宋体" w:hAnsi="宋体"/>
          <w:color w:val="auto"/>
          <w:shd w:val="clear" w:color="auto" w:fill="auto"/>
          <w:lang w:val="en-US" w:eastAsia="zh-CN"/>
        </w:rPr>
        <w:t>工作、</w:t>
      </w:r>
      <w:r>
        <w:rPr>
          <w:rFonts w:hint="eastAsia" w:ascii="宋体" w:hAnsi="宋体"/>
          <w:color w:val="auto"/>
          <w:shd w:val="clear" w:color="auto" w:fill="auto"/>
          <w:lang w:eastAsia="zh-CN"/>
        </w:rPr>
        <w:t>生活基本无影响</w:t>
      </w:r>
      <w:r>
        <w:rPr>
          <w:rFonts w:hint="eastAsia" w:ascii="宋体" w:hAnsi="宋体"/>
          <w:color w:val="auto"/>
          <w:shd w:val="clear" w:color="auto" w:fill="auto"/>
        </w:rPr>
        <w:t>。</w:t>
      </w:r>
    </w:p>
    <w:p>
      <w:pPr>
        <w:pStyle w:val="3"/>
        <w:numPr>
          <w:ilvl w:val="0"/>
          <w:numId w:val="0"/>
        </w:numPr>
        <w:jc w:val="center"/>
        <w:rPr>
          <w:rFonts w:hint="eastAsia"/>
          <w:lang w:val="en-US" w:eastAsia="zh-CN"/>
        </w:rPr>
      </w:pPr>
      <w:bookmarkStart w:id="459" w:name="_Toc23420"/>
      <w:r>
        <w:rPr>
          <w:rFonts w:hint="eastAsia"/>
          <w:lang w:val="en-US" w:eastAsia="zh-CN"/>
        </w:rPr>
        <w:t>10 调查结论与建议</w:t>
      </w:r>
      <w:bookmarkEnd w:id="459"/>
    </w:p>
    <w:p>
      <w:pPr>
        <w:pStyle w:val="4"/>
      </w:pPr>
      <w:bookmarkStart w:id="460" w:name="_Toc32535"/>
      <w:r>
        <w:rPr>
          <w:rFonts w:hint="eastAsia"/>
          <w:lang w:val="en-US" w:eastAsia="zh-CN"/>
        </w:rPr>
        <w:t xml:space="preserve">10.1 </w:t>
      </w:r>
      <w:r>
        <w:t>环境影响调查结论</w:t>
      </w:r>
      <w:bookmarkEnd w:id="460"/>
    </w:p>
    <w:p>
      <w:pPr>
        <w:pStyle w:val="5"/>
      </w:pPr>
      <w:bookmarkStart w:id="461" w:name="_Toc10044"/>
      <w:bookmarkStart w:id="462" w:name="_Toc2051"/>
      <w:r>
        <w:rPr>
          <w:rFonts w:hint="eastAsia"/>
          <w:lang w:val="en-US" w:eastAsia="zh-CN"/>
        </w:rPr>
        <w:t>10.1.1</w:t>
      </w:r>
      <w:r>
        <w:t>施工期环境影响调查结论</w:t>
      </w:r>
      <w:bookmarkEnd w:id="461"/>
      <w:bookmarkEnd w:id="462"/>
    </w:p>
    <w:p>
      <w:pPr>
        <w:ind w:firstLine="480"/>
      </w:pPr>
      <w:r>
        <w:t>根本次验收调查时施工期已经结束，根据工程施工阶段环境监理报告，项目建设过程中施工方严格按照环评及批复要求施工，对施工扬尘、噪声</w:t>
      </w:r>
      <w:r>
        <w:rPr>
          <w:rFonts w:hint="eastAsia"/>
          <w:lang w:eastAsia="zh-CN"/>
        </w:rPr>
        <w:t>等</w:t>
      </w:r>
      <w:r>
        <w:t>采取了相应的控制措施，施工</w:t>
      </w:r>
      <w:r>
        <w:rPr>
          <w:rFonts w:hint="eastAsia"/>
          <w:lang w:eastAsia="zh-CN"/>
        </w:rPr>
        <w:t>阶段</w:t>
      </w:r>
      <w:r>
        <w:rPr>
          <w:rFonts w:hint="eastAsia"/>
        </w:rPr>
        <w:t>废水等</w:t>
      </w:r>
      <w:r>
        <w:t>不外排，施工结束后施工现场均已清理，施工期没有出现环境污染情况。</w:t>
      </w:r>
    </w:p>
    <w:p>
      <w:pPr>
        <w:pStyle w:val="5"/>
      </w:pPr>
      <w:bookmarkStart w:id="463" w:name="_Toc8985"/>
      <w:bookmarkStart w:id="464" w:name="_Toc939"/>
      <w:r>
        <w:rPr>
          <w:rFonts w:hint="eastAsia"/>
          <w:lang w:val="en-US" w:eastAsia="zh-CN"/>
        </w:rPr>
        <w:t>10.1</w:t>
      </w:r>
      <w:r>
        <w:rPr>
          <w:rFonts w:hint="eastAsia"/>
        </w:rPr>
        <w:t>.2</w:t>
      </w:r>
      <w:r>
        <w:t>生态环境影响调查结论</w:t>
      </w:r>
      <w:bookmarkEnd w:id="463"/>
      <w:bookmarkEnd w:id="464"/>
    </w:p>
    <w:p>
      <w:pPr>
        <w:pStyle w:val="26"/>
        <w:ind w:firstLine="480"/>
      </w:pPr>
      <w:r>
        <w:t>根据现有资料和实地调查，该项目周边植被主要为</w:t>
      </w:r>
      <w:r>
        <w:rPr>
          <w:rFonts w:hint="eastAsia"/>
          <w:lang w:eastAsia="zh-CN"/>
        </w:rPr>
        <w:t>树木，竹林和</w:t>
      </w:r>
      <w:r>
        <w:t>草本植物，无其他珍稀动植物。经过多年的开发，周围区域受人类生存活动影响深远，无生态敏感目标，无珍稀动植物分布，该区域的生态环境为人工组分性质基本不变。</w:t>
      </w:r>
    </w:p>
    <w:p>
      <w:pPr>
        <w:ind w:firstLine="480" w:firstLineChars="200"/>
        <w:rPr>
          <w:rFonts w:hint="eastAsia"/>
        </w:rPr>
      </w:pPr>
      <w:r>
        <w:t>项目建设基本落实了环评批复要求，对生态环境的影响在可接受范围内。</w:t>
      </w:r>
    </w:p>
    <w:p>
      <w:pPr>
        <w:pStyle w:val="4"/>
        <w:rPr>
          <w:rFonts w:hint="eastAsia"/>
        </w:rPr>
      </w:pPr>
      <w:bookmarkStart w:id="465" w:name="_Toc21406"/>
      <w:r>
        <w:rPr>
          <w:rFonts w:hint="eastAsia"/>
        </w:rPr>
        <w:t>1</w:t>
      </w:r>
      <w:r>
        <w:rPr>
          <w:rFonts w:hint="eastAsia"/>
          <w:lang w:val="en-US" w:eastAsia="zh-CN"/>
        </w:rPr>
        <w:t>0</w:t>
      </w:r>
      <w:r>
        <w:rPr>
          <w:rFonts w:hint="eastAsia"/>
        </w:rPr>
        <w:t>.</w:t>
      </w:r>
      <w:r>
        <w:rPr>
          <w:rFonts w:hint="eastAsia"/>
          <w:lang w:val="en-US" w:eastAsia="zh-CN"/>
        </w:rPr>
        <w:t>2</w:t>
      </w:r>
      <w:r>
        <w:rPr>
          <w:rFonts w:hint="eastAsia"/>
        </w:rPr>
        <w:t xml:space="preserve"> 环境保</w:t>
      </w:r>
      <w:r>
        <w:rPr>
          <w:rFonts w:hint="eastAsia"/>
          <w:lang w:eastAsia="zh-CN"/>
        </w:rPr>
        <w:t>护措施调查结</w:t>
      </w:r>
      <w:r>
        <w:rPr>
          <w:rFonts w:hint="eastAsia"/>
        </w:rPr>
        <w:t>果</w:t>
      </w:r>
      <w:bookmarkEnd w:id="465"/>
    </w:p>
    <w:p>
      <w:pPr>
        <w:ind w:firstLine="480" w:firstLineChars="200"/>
        <w:rPr>
          <w:rFonts w:hint="default" w:ascii="Times New Roman" w:hAnsi="Times New Roman" w:cs="Times New Roman"/>
          <w:color w:val="auto"/>
          <w:shd w:val="clear" w:color="auto" w:fill="auto"/>
        </w:rPr>
      </w:pPr>
      <w:r>
        <w:rPr>
          <w:rFonts w:hint="eastAsia"/>
          <w:color w:val="auto"/>
          <w:lang w:val="en-US" w:eastAsia="zh-CN"/>
        </w:rPr>
        <w:t>池州市姚街新冲铅锌矿有限公司年产2万吨铅锌矿石原矿采矿技改整合扩建工程项目</w:t>
      </w:r>
      <w:r>
        <w:rPr>
          <w:rFonts w:hint="default" w:ascii="Times New Roman" w:hAnsi="Times New Roman" w:cs="Times New Roman"/>
          <w:color w:val="auto"/>
          <w:shd w:val="clear" w:color="auto" w:fill="auto"/>
        </w:rPr>
        <w:t>竣工环境保护验收监测工作于201</w:t>
      </w:r>
      <w:r>
        <w:rPr>
          <w:rFonts w:hint="eastAsia" w:cs="Times New Roman"/>
          <w:color w:val="auto"/>
          <w:shd w:val="clear" w:color="auto" w:fill="auto"/>
          <w:lang w:val="en-US" w:eastAsia="zh-CN"/>
        </w:rPr>
        <w:t>7</w:t>
      </w:r>
      <w:r>
        <w:rPr>
          <w:rFonts w:hint="default" w:ascii="Times New Roman" w:hAnsi="Times New Roman" w:cs="Times New Roman"/>
          <w:color w:val="auto"/>
          <w:shd w:val="clear" w:color="auto" w:fill="auto"/>
        </w:rPr>
        <w:t>年</w:t>
      </w:r>
      <w:r>
        <w:rPr>
          <w:rFonts w:hint="eastAsia" w:cs="Times New Roman"/>
          <w:color w:val="auto"/>
          <w:shd w:val="clear" w:color="auto" w:fill="auto"/>
          <w:lang w:val="en-US" w:eastAsia="zh-CN"/>
        </w:rPr>
        <w:t>10</w:t>
      </w:r>
      <w:r>
        <w:rPr>
          <w:rFonts w:hint="default" w:ascii="Times New Roman" w:hAnsi="Times New Roman" w:cs="Times New Roman"/>
          <w:color w:val="auto"/>
          <w:shd w:val="clear" w:color="auto" w:fill="auto"/>
        </w:rPr>
        <w:t>月</w:t>
      </w:r>
      <w:r>
        <w:rPr>
          <w:rFonts w:hint="eastAsia" w:cs="Times New Roman"/>
          <w:color w:val="auto"/>
          <w:shd w:val="clear" w:color="auto" w:fill="auto"/>
          <w:lang w:val="en-US" w:eastAsia="zh-CN"/>
        </w:rPr>
        <w:t>8</w:t>
      </w:r>
      <w:r>
        <w:rPr>
          <w:rFonts w:hint="default" w:ascii="Times New Roman" w:hAnsi="Times New Roman" w:cs="Times New Roman"/>
          <w:color w:val="auto"/>
          <w:shd w:val="clear" w:color="auto" w:fill="auto"/>
        </w:rPr>
        <w:t>日～</w:t>
      </w:r>
      <w:r>
        <w:rPr>
          <w:rFonts w:hint="eastAsia" w:cs="Times New Roman"/>
          <w:color w:val="auto"/>
          <w:shd w:val="clear" w:color="auto" w:fill="auto"/>
          <w:lang w:val="en-US" w:eastAsia="zh-CN"/>
        </w:rPr>
        <w:t>9</w:t>
      </w:r>
      <w:r>
        <w:rPr>
          <w:rFonts w:hint="default" w:ascii="Times New Roman" w:hAnsi="Times New Roman" w:cs="Times New Roman"/>
          <w:color w:val="auto"/>
          <w:shd w:val="clear" w:color="auto" w:fill="auto"/>
        </w:rPr>
        <w:t>日进行，安徽环科检测中心有限公司进行了废水、</w:t>
      </w:r>
      <w:r>
        <w:rPr>
          <w:rFonts w:hint="default" w:ascii="Times New Roman" w:hAnsi="Times New Roman" w:cs="Times New Roman"/>
          <w:color w:val="auto"/>
          <w:shd w:val="clear" w:color="auto" w:fill="auto"/>
          <w:lang w:val="en-US" w:eastAsia="zh-CN"/>
        </w:rPr>
        <w:t>废气、</w:t>
      </w:r>
      <w:r>
        <w:rPr>
          <w:rFonts w:hint="default" w:ascii="Times New Roman" w:hAnsi="Times New Roman" w:cs="Times New Roman"/>
          <w:color w:val="auto"/>
          <w:shd w:val="clear" w:color="auto" w:fill="auto"/>
        </w:rPr>
        <w:t>噪声</w:t>
      </w:r>
      <w:r>
        <w:rPr>
          <w:rFonts w:hint="eastAsia" w:cs="Times New Roman"/>
          <w:color w:val="auto"/>
          <w:shd w:val="clear" w:color="auto" w:fill="auto"/>
          <w:lang w:eastAsia="zh-CN"/>
        </w:rPr>
        <w:t>及环境质量的</w:t>
      </w:r>
      <w:r>
        <w:rPr>
          <w:rFonts w:hint="default" w:ascii="Times New Roman" w:hAnsi="Times New Roman" w:cs="Times New Roman"/>
          <w:color w:val="auto"/>
          <w:shd w:val="clear" w:color="auto" w:fill="auto"/>
        </w:rPr>
        <w:t>现场监测。</w:t>
      </w:r>
    </w:p>
    <w:p>
      <w:pPr>
        <w:ind w:firstLine="480" w:firstLineChars="200"/>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（1）</w:t>
      </w:r>
      <w:r>
        <w:rPr>
          <w:rFonts w:hint="eastAsia"/>
          <w:color w:val="auto"/>
          <w:lang w:val="en-US" w:eastAsia="zh-CN"/>
        </w:rPr>
        <w:t>池州市姚街新冲铅锌矿有限公司年产2万吨铅锌矿石原矿采矿技改整合扩建工程项目</w:t>
      </w:r>
      <w:r>
        <w:rPr>
          <w:rFonts w:hint="default" w:ascii="Times New Roman" w:hAnsi="Times New Roman" w:cs="Times New Roman"/>
          <w:color w:val="auto"/>
          <w:shd w:val="clear" w:color="auto" w:fill="auto"/>
        </w:rPr>
        <w:t>根据环保要求履行了环境影响评价，并按</w:t>
      </w:r>
      <w:r>
        <w:rPr>
          <w:rFonts w:hint="eastAsia" w:cs="Times New Roman"/>
          <w:color w:val="auto"/>
          <w:shd w:val="clear" w:color="auto" w:fill="auto"/>
          <w:lang w:eastAsia="zh-CN"/>
        </w:rPr>
        <w:t>安徽省环保厅和池州市环保局</w:t>
      </w:r>
      <w:r>
        <w:rPr>
          <w:rFonts w:hint="default" w:ascii="Times New Roman" w:hAnsi="Times New Roman" w:cs="Times New Roman"/>
          <w:color w:val="auto"/>
          <w:shd w:val="clear" w:color="auto" w:fill="auto"/>
        </w:rPr>
        <w:t>要求，基本落实了废气、废水、噪声</w:t>
      </w:r>
      <w:r>
        <w:rPr>
          <w:rFonts w:hint="eastAsia" w:cs="Times New Roman"/>
          <w:color w:val="auto"/>
          <w:shd w:val="clear" w:color="auto" w:fill="auto"/>
          <w:lang w:eastAsia="zh-CN"/>
        </w:rPr>
        <w:t>、</w:t>
      </w:r>
      <w:r>
        <w:rPr>
          <w:rFonts w:hint="eastAsia" w:cs="Times New Roman"/>
          <w:color w:val="auto"/>
          <w:shd w:val="clear" w:color="auto" w:fill="auto"/>
          <w:lang w:val="en-US" w:eastAsia="zh-CN"/>
        </w:rPr>
        <w:t>固废</w:t>
      </w:r>
      <w:r>
        <w:rPr>
          <w:rFonts w:hint="default" w:ascii="Times New Roman" w:hAnsi="Times New Roman" w:cs="Times New Roman"/>
          <w:color w:val="auto"/>
          <w:shd w:val="clear" w:color="auto" w:fill="auto"/>
        </w:rPr>
        <w:t>等治理措施。</w:t>
      </w:r>
    </w:p>
    <w:p>
      <w:pPr>
        <w:spacing w:line="360" w:lineRule="auto"/>
        <w:ind w:firstLine="480" w:firstLineChars="200"/>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（2）</w:t>
      </w:r>
      <w:r>
        <w:rPr>
          <w:rFonts w:hint="default" w:ascii="Times New Roman" w:hAnsi="Times New Roman" w:cs="Times New Roman"/>
          <w:color w:val="auto"/>
          <w:sz w:val="24"/>
          <w:szCs w:val="24"/>
          <w:lang w:val="en-US" w:eastAsia="zh-CN"/>
        </w:rPr>
        <w:t>验收监测按照《建设项目环境设施竣工验收检测技术要求》进行，验收</w:t>
      </w:r>
      <w:r>
        <w:rPr>
          <w:rFonts w:hint="eastAsia" w:ascii="Times New Roman" w:hAnsi="Times New Roman" w:cs="Times New Roman"/>
          <w:color w:val="auto"/>
          <w:sz w:val="24"/>
          <w:szCs w:val="24"/>
          <w:lang w:val="en-US" w:eastAsia="zh-CN"/>
        </w:rPr>
        <w:t>监测</w:t>
      </w:r>
      <w:r>
        <w:rPr>
          <w:rFonts w:hint="default" w:ascii="Times New Roman" w:hAnsi="Times New Roman" w:cs="Times New Roman"/>
          <w:color w:val="auto"/>
          <w:sz w:val="24"/>
          <w:szCs w:val="24"/>
          <w:lang w:val="en-US" w:eastAsia="zh-CN"/>
        </w:rPr>
        <w:t>期间生产工况正常，符合验收期间生产负荷达到设计</w:t>
      </w:r>
      <w:r>
        <w:rPr>
          <w:rFonts w:hint="eastAsia" w:ascii="Times New Roman" w:hAnsi="Times New Roman" w:cs="Times New Roman"/>
          <w:color w:val="auto"/>
          <w:sz w:val="24"/>
          <w:szCs w:val="24"/>
          <w:lang w:val="en-US" w:eastAsia="zh-CN"/>
        </w:rPr>
        <w:t>负荷</w:t>
      </w:r>
      <w:r>
        <w:rPr>
          <w:rFonts w:hint="default" w:ascii="Times New Roman" w:hAnsi="Times New Roman" w:cs="Times New Roman"/>
          <w:color w:val="auto"/>
          <w:sz w:val="24"/>
          <w:szCs w:val="24"/>
          <w:lang w:val="en-US" w:eastAsia="zh-CN"/>
        </w:rPr>
        <w:t>75%以上的要求。</w:t>
      </w:r>
    </w:p>
    <w:p>
      <w:pPr>
        <w:pStyle w:val="18"/>
        <w:spacing w:line="360" w:lineRule="auto"/>
        <w:ind w:firstLine="480" w:firstLineChars="200"/>
        <w:rPr>
          <w:rFonts w:hint="default" w:ascii="Times New Roman" w:hAnsi="Times New Roman" w:cs="Times New Roman"/>
          <w:lang w:val="en-US" w:eastAsia="zh-CN"/>
        </w:rPr>
      </w:pPr>
      <w:r>
        <w:rPr>
          <w:rFonts w:hint="eastAsia" w:ascii="Times New Roman" w:hAnsi="Times New Roman" w:cs="Times New Roman"/>
          <w:lang w:val="en-US" w:eastAsia="zh-CN"/>
        </w:rPr>
        <w:t>（3）</w:t>
      </w:r>
      <w:r>
        <w:rPr>
          <w:rFonts w:hint="default" w:ascii="Times New Roman" w:hAnsi="Times New Roman" w:cs="Times New Roman"/>
          <w:lang w:val="en-US" w:eastAsia="zh-CN"/>
        </w:rPr>
        <w:t>建设单位环境保护审查、审批手续完备，环境保护档案资料较齐全。</w:t>
      </w:r>
    </w:p>
    <w:p>
      <w:pPr>
        <w:ind w:firstLine="480" w:firstLineChars="200"/>
        <w:rPr>
          <w:rFonts w:hint="default" w:ascii="Times New Roman" w:hAnsi="Times New Roman" w:cs="Times New Roman"/>
          <w:color w:val="auto"/>
          <w:shd w:val="clear" w:color="auto" w:fill="auto"/>
        </w:rPr>
      </w:pPr>
      <w:r>
        <w:rPr>
          <w:rFonts w:hint="eastAsia" w:cs="Times New Roman"/>
          <w:lang w:val="en-US" w:eastAsia="zh-CN"/>
        </w:rPr>
        <w:t>（4）</w:t>
      </w:r>
      <w:r>
        <w:rPr>
          <w:rFonts w:hint="default" w:ascii="Times New Roman" w:hAnsi="Times New Roman" w:cs="Times New Roman"/>
          <w:lang w:val="en-US" w:eastAsia="zh-CN"/>
        </w:rPr>
        <w:t>据调查，项目建设期间无污染事故发生，无群众投诉案件发生。</w:t>
      </w:r>
    </w:p>
    <w:p>
      <w:pPr>
        <w:ind w:firstLine="480" w:firstLineChars="200"/>
        <w:rPr>
          <w:rFonts w:hint="default" w:ascii="Times New Roman" w:hAnsi="Times New Roman" w:cs="Times New Roman"/>
          <w:color w:val="FF0000"/>
        </w:rPr>
      </w:pPr>
      <w:r>
        <w:rPr>
          <w:rFonts w:hint="default" w:ascii="Times New Roman" w:hAnsi="Times New Roman" w:cs="Times New Roman"/>
          <w:color w:val="auto"/>
          <w:shd w:val="clear" w:color="auto" w:fill="auto"/>
        </w:rPr>
        <w:t>（</w:t>
      </w:r>
      <w:r>
        <w:rPr>
          <w:rFonts w:hint="eastAsia" w:cs="Times New Roman"/>
          <w:color w:val="auto"/>
          <w:shd w:val="clear" w:color="auto" w:fill="auto"/>
          <w:lang w:val="en-US" w:eastAsia="zh-CN"/>
        </w:rPr>
        <w:t>5</w:t>
      </w:r>
      <w:r>
        <w:rPr>
          <w:rFonts w:hint="default" w:ascii="Times New Roman" w:hAnsi="Times New Roman" w:cs="Times New Roman"/>
          <w:color w:val="auto"/>
          <w:shd w:val="clear" w:color="auto" w:fill="auto"/>
        </w:rPr>
        <w:t>）</w:t>
      </w:r>
      <w:r>
        <w:rPr>
          <w:rFonts w:hint="eastAsia"/>
          <w:color w:val="auto"/>
          <w:lang w:val="en-US" w:eastAsia="zh-CN"/>
        </w:rPr>
        <w:t>池州市姚街新冲铅锌矿有限公司姚街铅锌矿1#和2#沉淀池的废水中各污染物浓度低于《铅、锌工业污染物排放标准》（GB25466-2010）中表2标准限值。</w:t>
      </w:r>
    </w:p>
    <w:p>
      <w:pPr>
        <w:spacing w:line="360" w:lineRule="auto"/>
        <w:ind w:firstLine="480" w:firstLineChars="200"/>
        <w:rPr>
          <w:rFonts w:hint="default" w:ascii="Times New Roman" w:hAnsi="Times New Roman" w:eastAsia="宋体" w:cs="Times New Roman"/>
          <w:color w:val="FF0000"/>
          <w:lang w:eastAsia="zh-CN"/>
        </w:rPr>
      </w:pPr>
      <w:r>
        <w:rPr>
          <w:rFonts w:hint="default" w:ascii="Times New Roman" w:hAnsi="Times New Roman" w:cs="Times New Roman"/>
          <w:color w:val="auto"/>
          <w:lang w:eastAsia="zh-CN"/>
        </w:rPr>
        <w:t>（</w:t>
      </w:r>
      <w:r>
        <w:rPr>
          <w:rFonts w:hint="eastAsia" w:cs="Times New Roman"/>
          <w:color w:val="auto"/>
          <w:lang w:val="en-US" w:eastAsia="zh-CN"/>
        </w:rPr>
        <w:t>6</w:t>
      </w:r>
      <w:r>
        <w:rPr>
          <w:rFonts w:hint="default" w:ascii="Times New Roman" w:hAnsi="Times New Roman" w:cs="Times New Roman"/>
          <w:color w:val="auto"/>
          <w:lang w:eastAsia="zh-CN"/>
        </w:rPr>
        <w:t>）</w:t>
      </w:r>
      <w:r>
        <w:rPr>
          <w:rFonts w:hint="eastAsia"/>
          <w:color w:val="auto"/>
          <w:lang w:val="en-US" w:eastAsia="zh-CN"/>
        </w:rPr>
        <w:t>项目颗粒物的无组织排放浓度满足</w:t>
      </w:r>
      <w:r>
        <w:rPr>
          <w:rFonts w:hint="eastAsia" w:ascii="Times New Roman" w:hAnsi="Times New Roman" w:cs="Times New Roman"/>
          <w:b w:val="0"/>
          <w:bCs w:val="0"/>
          <w:color w:val="auto"/>
          <w:sz w:val="24"/>
          <w:szCs w:val="24"/>
          <w:lang w:val="en-US" w:eastAsia="zh-CN"/>
        </w:rPr>
        <w:t>《铅、锌工业污染物排放标准》（GB25466-2010）表6限值要求</w:t>
      </w:r>
      <w:r>
        <w:rPr>
          <w:rFonts w:hint="eastAsia" w:cs="Times New Roman"/>
          <w:b w:val="0"/>
          <w:bCs w:val="0"/>
          <w:color w:val="auto"/>
          <w:sz w:val="24"/>
          <w:szCs w:val="24"/>
          <w:lang w:val="en-US" w:eastAsia="zh-CN"/>
        </w:rPr>
        <w:t>。</w:t>
      </w:r>
    </w:p>
    <w:p>
      <w:pPr>
        <w:ind w:firstLine="480" w:firstLineChars="200"/>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w:t>
      </w:r>
      <w:r>
        <w:rPr>
          <w:rFonts w:hint="eastAsia" w:cs="Times New Roman"/>
          <w:color w:val="auto"/>
          <w:shd w:val="clear" w:color="auto" w:fill="auto"/>
          <w:lang w:val="en-US" w:eastAsia="zh-CN"/>
        </w:rPr>
        <w:t>7</w:t>
      </w:r>
      <w:r>
        <w:rPr>
          <w:rFonts w:hint="default" w:ascii="Times New Roman" w:hAnsi="Times New Roman" w:cs="Times New Roman"/>
          <w:color w:val="auto"/>
          <w:shd w:val="clear" w:color="auto" w:fill="auto"/>
        </w:rPr>
        <w:t>）</w:t>
      </w:r>
      <w:r>
        <w:rPr>
          <w:rFonts w:hint="eastAsia"/>
          <w:color w:val="auto"/>
          <w:lang w:val="en-US" w:eastAsia="zh-CN"/>
        </w:rPr>
        <w:t>项目</w:t>
      </w:r>
      <w:r>
        <w:rPr>
          <w:rFonts w:hint="default" w:ascii="Times New Roman" w:hAnsi="Times New Roman" w:cs="Times New Roman"/>
          <w:color w:val="auto"/>
          <w:shd w:val="clear" w:color="auto" w:fill="auto"/>
        </w:rPr>
        <w:t>现状</w:t>
      </w:r>
      <w:r>
        <w:rPr>
          <w:rFonts w:hint="eastAsia" w:cs="Times New Roman"/>
          <w:color w:val="auto"/>
          <w:shd w:val="clear" w:color="auto" w:fill="auto"/>
          <w:lang w:eastAsia="zh-CN"/>
        </w:rPr>
        <w:t>边界</w:t>
      </w:r>
      <w:r>
        <w:rPr>
          <w:rFonts w:hint="default" w:ascii="Times New Roman" w:hAnsi="Times New Roman" w:cs="Times New Roman"/>
          <w:color w:val="auto"/>
          <w:shd w:val="clear" w:color="auto" w:fill="auto"/>
        </w:rPr>
        <w:t>昼、</w:t>
      </w:r>
      <w:r>
        <w:rPr>
          <w:rFonts w:hint="eastAsia" w:cs="Times New Roman"/>
          <w:color w:val="auto"/>
          <w:shd w:val="clear" w:color="auto" w:fill="auto"/>
          <w:lang w:val="en-US" w:eastAsia="zh-CN"/>
        </w:rPr>
        <w:t>间噪声</w:t>
      </w:r>
      <w:r>
        <w:rPr>
          <w:rFonts w:hint="default" w:ascii="Times New Roman" w:hAnsi="Times New Roman" w:cs="Times New Roman"/>
          <w:color w:val="auto"/>
          <w:shd w:val="clear" w:color="auto" w:fill="auto"/>
        </w:rPr>
        <w:t>均能达到《工业企业厂界噪声排放标准》（GB12348-2008）</w:t>
      </w:r>
      <w:r>
        <w:rPr>
          <w:rFonts w:hint="eastAsia" w:cs="Times New Roman"/>
          <w:color w:val="auto"/>
          <w:shd w:val="clear" w:color="auto" w:fill="auto"/>
          <w:lang w:val="en-US" w:eastAsia="zh-CN"/>
        </w:rPr>
        <w:t>1</w:t>
      </w:r>
      <w:r>
        <w:rPr>
          <w:rFonts w:hint="default" w:ascii="Times New Roman" w:hAnsi="Times New Roman" w:cs="Times New Roman"/>
          <w:color w:val="auto"/>
          <w:shd w:val="clear" w:color="auto" w:fill="auto"/>
        </w:rPr>
        <w:t>类标准要求</w:t>
      </w:r>
      <w:r>
        <w:rPr>
          <w:rFonts w:hint="eastAsia" w:cs="Times New Roman"/>
          <w:color w:val="auto"/>
          <w:shd w:val="clear" w:color="auto" w:fill="auto"/>
          <w:lang w:eastAsia="zh-CN"/>
        </w:rPr>
        <w:t>。</w:t>
      </w:r>
    </w:p>
    <w:p>
      <w:pPr>
        <w:ind w:firstLine="480" w:firstLineChars="200"/>
        <w:rPr>
          <w:rFonts w:hint="default" w:ascii="Times New Roman" w:hAnsi="Times New Roman" w:cs="Times New Roman"/>
          <w:color w:val="auto"/>
          <w:shd w:val="clear" w:color="auto" w:fill="auto"/>
        </w:rPr>
      </w:pPr>
      <w:r>
        <w:rPr>
          <w:rFonts w:hint="default" w:ascii="Times New Roman" w:hAnsi="Times New Roman" w:cs="Times New Roman"/>
          <w:color w:val="auto"/>
          <w:shd w:val="clear" w:color="auto" w:fill="auto"/>
        </w:rPr>
        <w:t>（</w:t>
      </w:r>
      <w:r>
        <w:rPr>
          <w:rFonts w:hint="eastAsia" w:cs="Times New Roman"/>
          <w:color w:val="auto"/>
          <w:shd w:val="clear" w:color="auto" w:fill="auto"/>
          <w:lang w:val="en-US" w:eastAsia="zh-CN"/>
        </w:rPr>
        <w:t>8</w:t>
      </w:r>
      <w:r>
        <w:rPr>
          <w:rFonts w:hint="default" w:ascii="Times New Roman" w:hAnsi="Times New Roman" w:cs="Times New Roman"/>
          <w:color w:val="auto"/>
          <w:shd w:val="clear" w:color="auto" w:fill="auto"/>
        </w:rPr>
        <w:t>）</w:t>
      </w:r>
      <w:r>
        <w:rPr>
          <w:rFonts w:hint="eastAsia"/>
          <w:color w:val="auto"/>
          <w:lang w:val="en-US" w:eastAsia="zh-CN"/>
        </w:rPr>
        <w:t>项目矿石全部回填，除员工生活垃圾外无其他固体废物产生，员工</w:t>
      </w:r>
      <w:r>
        <w:rPr>
          <w:rFonts w:hint="default" w:ascii="Times New Roman" w:hAnsi="Times New Roman" w:cs="Times New Roman"/>
          <w:color w:val="auto"/>
          <w:shd w:val="clear" w:color="auto" w:fill="auto"/>
        </w:rPr>
        <w:t>生活垃圾收集后由环卫部门集中处置。</w:t>
      </w:r>
    </w:p>
    <w:p>
      <w:pPr>
        <w:pStyle w:val="4"/>
        <w:rPr>
          <w:rFonts w:hint="eastAsia"/>
        </w:rPr>
      </w:pPr>
      <w:bookmarkStart w:id="466" w:name="_Toc26678"/>
      <w:r>
        <w:rPr>
          <w:rFonts w:hint="eastAsia"/>
        </w:rPr>
        <w:t>1</w:t>
      </w:r>
      <w:r>
        <w:rPr>
          <w:rFonts w:hint="eastAsia"/>
          <w:lang w:val="en-US" w:eastAsia="zh-CN"/>
        </w:rPr>
        <w:t>0</w:t>
      </w:r>
      <w:r>
        <w:rPr>
          <w:rFonts w:hint="eastAsia"/>
        </w:rPr>
        <w:t>.</w:t>
      </w:r>
      <w:r>
        <w:rPr>
          <w:rFonts w:hint="eastAsia"/>
          <w:lang w:val="en-US" w:eastAsia="zh-CN"/>
        </w:rPr>
        <w:t>3</w:t>
      </w:r>
      <w:r>
        <w:rPr>
          <w:rFonts w:hint="eastAsia"/>
        </w:rPr>
        <w:t xml:space="preserve"> 工程建设对环境的影响</w:t>
      </w:r>
      <w:bookmarkEnd w:id="466"/>
    </w:p>
    <w:p>
      <w:pPr>
        <w:numPr>
          <w:ilvl w:val="0"/>
          <w:numId w:val="0"/>
        </w:numPr>
        <w:spacing w:line="360" w:lineRule="auto"/>
        <w:ind w:firstLine="480" w:firstLineChars="200"/>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1.</w:t>
      </w:r>
      <w:r>
        <w:rPr>
          <w:rFonts w:hint="default" w:ascii="Times New Roman" w:hAnsi="Times New Roman" w:cs="Times New Roman"/>
          <w:color w:val="auto"/>
          <w:sz w:val="24"/>
          <w:szCs w:val="24"/>
          <w:lang w:val="en-US" w:eastAsia="zh-CN"/>
        </w:rPr>
        <w:t>池州市姚街新冲铅锌矿有限公司姚街铅锌矿附近三口地下水监测井水质均满足《地下水质量标准》（GB/T 14848-93）Ⅲ类标准要求。</w:t>
      </w:r>
    </w:p>
    <w:p>
      <w:pPr>
        <w:pStyle w:val="18"/>
        <w:widowControl w:val="0"/>
        <w:numPr>
          <w:ilvl w:val="0"/>
          <w:numId w:val="0"/>
        </w:numPr>
        <w:autoSpaceDE w:val="0"/>
        <w:autoSpaceDN w:val="0"/>
        <w:adjustRightInd w:val="0"/>
        <w:spacing w:line="360" w:lineRule="auto"/>
        <w:ind w:firstLine="480" w:firstLineChars="200"/>
        <w:rPr>
          <w:rFonts w:hint="default" w:ascii="Times New Roman" w:hAnsi="Times New Roman" w:cs="Times New Roman"/>
          <w:sz w:val="24"/>
          <w:szCs w:val="24"/>
          <w:lang w:eastAsia="zh-CN"/>
        </w:rPr>
      </w:pPr>
      <w:r>
        <w:rPr>
          <w:rFonts w:hint="eastAsia" w:ascii="Times New Roman" w:hAnsi="Times New Roman" w:cs="Times New Roman"/>
          <w:sz w:val="24"/>
          <w:szCs w:val="24"/>
          <w:lang w:val="en-US" w:eastAsia="zh-CN"/>
        </w:rPr>
        <w:t>2.</w:t>
      </w:r>
      <w:r>
        <w:rPr>
          <w:rFonts w:hint="default" w:ascii="Times New Roman" w:hAnsi="Times New Roman" w:cs="Times New Roman"/>
          <w:sz w:val="24"/>
          <w:szCs w:val="24"/>
          <w:lang w:val="en-US" w:eastAsia="zh-CN"/>
        </w:rPr>
        <w:t>项目最近的</w:t>
      </w:r>
      <w:r>
        <w:rPr>
          <w:rFonts w:hint="eastAsia" w:ascii="Times New Roman" w:hAnsi="Times New Roman" w:cs="Times New Roman"/>
          <w:sz w:val="24"/>
          <w:szCs w:val="24"/>
          <w:lang w:val="en-US" w:eastAsia="zh-CN"/>
        </w:rPr>
        <w:t>敏感点</w:t>
      </w:r>
      <w:r>
        <w:rPr>
          <w:rFonts w:hint="default" w:ascii="Times New Roman" w:hAnsi="Times New Roman" w:cs="Times New Roman"/>
          <w:sz w:val="24"/>
          <w:szCs w:val="24"/>
          <w:lang w:val="en-US" w:eastAsia="zh-CN"/>
        </w:rPr>
        <w:t>住宅环境空气质量满足</w:t>
      </w:r>
      <w:r>
        <w:rPr>
          <w:rFonts w:hint="default" w:ascii="Times New Roman" w:hAnsi="Times New Roman" w:cs="Times New Roman"/>
          <w:sz w:val="24"/>
          <w:szCs w:val="24"/>
        </w:rPr>
        <w:t>《环境空气质量标准</w:t>
      </w:r>
      <w:r>
        <w:rPr>
          <w:rFonts w:hint="default" w:ascii="Times New Roman" w:hAnsi="Times New Roman" w:cs="Times New Roman"/>
          <w:sz w:val="24"/>
          <w:szCs w:val="24"/>
          <w:lang w:eastAsia="zh-CN"/>
        </w:rPr>
        <w:t>》</w:t>
      </w:r>
      <w:r>
        <w:rPr>
          <w:rFonts w:hint="default" w:ascii="Times New Roman" w:hAnsi="Times New Roman" w:cs="Times New Roman"/>
          <w:sz w:val="24"/>
          <w:szCs w:val="24"/>
        </w:rPr>
        <w:t>（GB3095-2012）</w:t>
      </w:r>
      <w:r>
        <w:rPr>
          <w:rFonts w:hint="default" w:ascii="Times New Roman" w:hAnsi="Times New Roman" w:cs="Times New Roman"/>
          <w:sz w:val="24"/>
          <w:szCs w:val="24"/>
          <w:lang w:eastAsia="zh-CN"/>
        </w:rPr>
        <w:t>二级标准要求。</w:t>
      </w:r>
    </w:p>
    <w:p>
      <w:pPr>
        <w:pStyle w:val="18"/>
        <w:widowControl w:val="0"/>
        <w:numPr>
          <w:ilvl w:val="0"/>
          <w:numId w:val="0"/>
        </w:numPr>
        <w:autoSpaceDE w:val="0"/>
        <w:autoSpaceDN w:val="0"/>
        <w:adjustRightInd w:val="0"/>
        <w:spacing w:line="360" w:lineRule="auto"/>
        <w:ind w:firstLine="480" w:firstLineChars="20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w:t>
      </w:r>
      <w:r>
        <w:rPr>
          <w:rFonts w:hint="default" w:ascii="Times New Roman" w:hAnsi="Times New Roman" w:cs="Times New Roman"/>
          <w:sz w:val="24"/>
          <w:szCs w:val="24"/>
          <w:lang w:val="en-US" w:eastAsia="zh-CN"/>
        </w:rPr>
        <w:t>项目最近的</w:t>
      </w:r>
      <w:r>
        <w:rPr>
          <w:rFonts w:hint="eastAsia" w:ascii="Times New Roman" w:hAnsi="Times New Roman" w:cs="Times New Roman"/>
          <w:sz w:val="24"/>
          <w:szCs w:val="24"/>
          <w:lang w:val="en-US" w:eastAsia="zh-CN"/>
        </w:rPr>
        <w:t>敏感点</w:t>
      </w:r>
      <w:r>
        <w:rPr>
          <w:rFonts w:hint="default" w:ascii="Times New Roman" w:hAnsi="Times New Roman" w:cs="Times New Roman"/>
          <w:sz w:val="24"/>
          <w:szCs w:val="24"/>
          <w:lang w:val="en-US" w:eastAsia="zh-CN"/>
        </w:rPr>
        <w:t>住宅环境噪声质量满足</w:t>
      </w:r>
      <w:r>
        <w:rPr>
          <w:rFonts w:hint="default" w:ascii="Times New Roman" w:hAnsi="Times New Roman" w:cs="Times New Roman"/>
          <w:sz w:val="24"/>
          <w:szCs w:val="24"/>
        </w:rPr>
        <w:t>《声环境质量标准</w:t>
      </w:r>
      <w:r>
        <w:rPr>
          <w:rFonts w:hint="default" w:ascii="Times New Roman" w:hAnsi="Times New Roman" w:cs="Times New Roman"/>
          <w:sz w:val="24"/>
          <w:szCs w:val="24"/>
          <w:lang w:eastAsia="zh-CN"/>
        </w:rPr>
        <w:t>》</w:t>
      </w:r>
      <w:r>
        <w:rPr>
          <w:rFonts w:hint="default" w:ascii="Times New Roman" w:hAnsi="Times New Roman" w:cs="Times New Roman"/>
          <w:sz w:val="24"/>
          <w:szCs w:val="24"/>
        </w:rPr>
        <w:t>（GB3096-2008）</w:t>
      </w:r>
      <w:r>
        <w:rPr>
          <w:rFonts w:hint="default" w:ascii="Times New Roman" w:hAnsi="Times New Roman" w:cs="Times New Roman"/>
          <w:sz w:val="24"/>
          <w:szCs w:val="24"/>
          <w:lang w:eastAsia="zh-CN"/>
        </w:rPr>
        <w:t>中</w:t>
      </w:r>
      <w:r>
        <w:rPr>
          <w:rFonts w:hint="default" w:ascii="Times New Roman" w:hAnsi="Times New Roman" w:cs="Times New Roman"/>
          <w:sz w:val="24"/>
          <w:szCs w:val="24"/>
          <w:lang w:val="en-US" w:eastAsia="zh-CN"/>
        </w:rPr>
        <w:t>1类</w:t>
      </w:r>
      <w:r>
        <w:rPr>
          <w:rFonts w:hint="default" w:ascii="Times New Roman" w:hAnsi="Times New Roman" w:cs="Times New Roman"/>
          <w:color w:val="auto"/>
          <w:sz w:val="24"/>
          <w:szCs w:val="24"/>
        </w:rPr>
        <w:t>标准</w:t>
      </w:r>
      <w:r>
        <w:rPr>
          <w:rFonts w:hint="default" w:ascii="Times New Roman" w:hAnsi="Times New Roman" w:cs="Times New Roman"/>
          <w:color w:val="auto"/>
          <w:sz w:val="24"/>
          <w:szCs w:val="24"/>
          <w:lang w:eastAsia="zh-CN"/>
        </w:rPr>
        <w:t>要求。</w:t>
      </w:r>
    </w:p>
    <w:p>
      <w:pPr>
        <w:pStyle w:val="4"/>
        <w:rPr>
          <w:rFonts w:hint="eastAsia"/>
          <w:lang w:val="en-US" w:eastAsia="zh-CN"/>
        </w:rPr>
      </w:pPr>
      <w:bookmarkStart w:id="467" w:name="_Toc17239"/>
      <w:r>
        <w:rPr>
          <w:rFonts w:hint="eastAsia"/>
          <w:lang w:val="en-US" w:eastAsia="zh-CN"/>
        </w:rPr>
        <w:t>10.4 调查结论</w:t>
      </w:r>
      <w:bookmarkEnd w:id="467"/>
    </w:p>
    <w:p>
      <w:pPr>
        <w:pStyle w:val="18"/>
        <w:widowControl w:val="0"/>
        <w:numPr>
          <w:ilvl w:val="0"/>
          <w:numId w:val="0"/>
        </w:numPr>
        <w:autoSpaceDE w:val="0"/>
        <w:autoSpaceDN w:val="0"/>
        <w:adjustRightInd w:val="0"/>
        <w:spacing w:line="360" w:lineRule="auto"/>
        <w:ind w:firstLine="480" w:firstLineChars="200"/>
        <w:rPr>
          <w:rFonts w:hint="default" w:ascii="Times New Roman" w:hAnsi="Times New Roman" w:cs="Times New Roman"/>
          <w:sz w:val="24"/>
          <w:szCs w:val="24"/>
          <w:lang w:eastAsia="zh-CN"/>
        </w:rPr>
      </w:pPr>
      <w:r>
        <w:rPr>
          <w:rFonts w:hint="eastAsia" w:ascii="Times New Roman" w:hAnsi="Times New Roman" w:cs="Times New Roman"/>
          <w:color w:val="auto"/>
          <w:sz w:val="24"/>
          <w:szCs w:val="24"/>
          <w:lang w:val="en-US" w:eastAsia="zh-CN"/>
        </w:rPr>
        <w:t>综合来看，</w:t>
      </w:r>
      <w:r>
        <w:rPr>
          <w:rFonts w:hint="default" w:ascii="Times New Roman" w:hAnsi="Times New Roman" w:cs="Times New Roman"/>
          <w:color w:val="auto"/>
          <w:sz w:val="24"/>
          <w:szCs w:val="24"/>
          <w:lang w:val="en-US" w:eastAsia="zh-CN"/>
        </w:rPr>
        <w:t>姚街铅锌矿的建设及运行未对周边环境质量造成严重影响，</w:t>
      </w:r>
      <w:r>
        <w:rPr>
          <w:rFonts w:hint="eastAsia" w:ascii="Times New Roman" w:hAnsi="Times New Roman" w:cs="Times New Roman"/>
          <w:color w:val="auto"/>
          <w:sz w:val="24"/>
          <w:szCs w:val="24"/>
          <w:lang w:val="en-US" w:eastAsia="zh-CN"/>
        </w:rPr>
        <w:t>生态保护及恢复方案基本落实，原矿石及废石堆场目前处于初步恢复阶段，原姚街第二铅锌矿已经完成恢复；环评及批复中提到的工程建设内容及环境保护要求基本相符；环保措施落实到位，监测期间，项目各污染物的排放均达标，环境敏感点的环境空气、环境噪声和项目周边地下水质也都满足标准要求，未对外界环境造成明显影响。</w:t>
      </w:r>
      <w:r>
        <w:rPr>
          <w:rFonts w:hint="default" w:ascii="Times New Roman" w:hAnsi="Times New Roman" w:cs="Times New Roman"/>
          <w:color w:val="auto"/>
          <w:sz w:val="24"/>
          <w:szCs w:val="24"/>
          <w:lang w:val="en-US" w:eastAsia="zh-CN"/>
        </w:rPr>
        <w:t>环境各方面质量良好</w:t>
      </w:r>
      <w:r>
        <w:rPr>
          <w:rFonts w:hint="eastAsia" w:ascii="Times New Roman" w:hAnsi="Times New Roman" w:cs="Times New Roman"/>
          <w:color w:val="auto"/>
          <w:sz w:val="24"/>
          <w:szCs w:val="24"/>
          <w:lang w:val="en-US" w:eastAsia="zh-CN"/>
        </w:rPr>
        <w:t>，</w:t>
      </w:r>
      <w:r>
        <w:rPr>
          <w:rFonts w:hint="eastAsia" w:ascii="Times New Roman" w:hAnsi="Times New Roman" w:cs="Times New Roman"/>
          <w:b/>
          <w:bCs/>
          <w:color w:val="auto"/>
          <w:sz w:val="24"/>
          <w:szCs w:val="24"/>
          <w:lang w:val="en-US" w:eastAsia="zh-CN"/>
        </w:rPr>
        <w:t>经本次调查，项目符合竣工验收条件</w:t>
      </w:r>
      <w:r>
        <w:rPr>
          <w:rFonts w:hint="eastAsia" w:ascii="Times New Roman" w:hAnsi="Times New Roman" w:cs="Times New Roman"/>
          <w:color w:val="auto"/>
          <w:sz w:val="24"/>
          <w:szCs w:val="24"/>
          <w:lang w:val="en-US" w:eastAsia="zh-CN"/>
        </w:rPr>
        <w:t>。</w:t>
      </w:r>
    </w:p>
    <w:p>
      <w:pPr>
        <w:pStyle w:val="4"/>
        <w:rPr>
          <w:rFonts w:hint="eastAsia"/>
          <w:lang w:val="en-US" w:eastAsia="zh-CN"/>
        </w:rPr>
      </w:pPr>
      <w:bookmarkStart w:id="468" w:name="_Toc14570"/>
      <w:r>
        <w:rPr>
          <w:rFonts w:hint="eastAsia"/>
          <w:lang w:val="en-US" w:eastAsia="zh-CN"/>
        </w:rPr>
        <w:t>10.5 针对工程建议</w:t>
      </w:r>
      <w:bookmarkEnd w:id="468"/>
    </w:p>
    <w:p>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r>
        <w:rPr>
          <w:rFonts w:hint="eastAsia" w:ascii="Times New Roman" w:hAnsi="Times New Roman" w:cs="Times New Roman"/>
          <w:color w:val="auto"/>
          <w:sz w:val="24"/>
          <w:szCs w:val="24"/>
          <w:lang w:eastAsia="zh-CN"/>
        </w:rPr>
        <w:t>项目员工生活垃圾</w:t>
      </w:r>
      <w:r>
        <w:rPr>
          <w:rFonts w:hint="default" w:ascii="Times New Roman" w:hAnsi="Times New Roman" w:eastAsia="宋体" w:cs="Times New Roman"/>
          <w:color w:val="auto"/>
          <w:sz w:val="24"/>
          <w:szCs w:val="24"/>
        </w:rPr>
        <w:t>垃圾要及时清运</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建议企业提供生活垃圾处理协议。</w:t>
      </w:r>
    </w:p>
    <w:p>
      <w:pPr>
        <w:autoSpaceDE w:val="0"/>
        <w:autoSpaceDN w:val="0"/>
        <w:adjustRightInd w:val="0"/>
        <w:spacing w:line="360" w:lineRule="auto"/>
        <w:ind w:left="0" w:leftChars="0" w:firstLine="480" w:firstLineChars="200"/>
        <w:jc w:val="left"/>
        <w:rPr>
          <w:rFonts w:hint="default"/>
          <w:color w:val="auto"/>
        </w:rPr>
      </w:pPr>
      <w:r>
        <w:rPr>
          <w:rFonts w:hint="default" w:ascii="Times New Roman" w:hAnsi="Times New Roman" w:eastAsia="宋体" w:cs="Times New Roman"/>
          <w:color w:val="auto"/>
          <w:sz w:val="24"/>
          <w:szCs w:val="24"/>
        </w:rPr>
        <w:t>2、加强环境管理，注意环保设施的维护、添置和更新，确保各项污染物长期稳定达标排放。</w:t>
      </w:r>
    </w:p>
    <w:p>
      <w:pPr>
        <w:numPr>
          <w:ilvl w:val="0"/>
          <w:numId w:val="0"/>
        </w:numPr>
        <w:spacing w:line="360" w:lineRule="auto"/>
        <w:ind w:firstLine="480" w:firstLineChars="200"/>
        <w:rPr>
          <w:rFonts w:hint="eastAsia" w:ascii="Times New Roman" w:hAnsi="Times New Roman" w:cs="Times New Roman"/>
          <w:color w:val="auto"/>
          <w:sz w:val="24"/>
          <w:szCs w:val="24"/>
          <w:lang w:val="en-US" w:eastAsia="zh-CN"/>
        </w:rPr>
      </w:pPr>
      <w:r>
        <w:rPr>
          <w:rFonts w:hint="eastAsia" w:cs="Times New Roman"/>
          <w:color w:val="auto"/>
          <w:sz w:val="24"/>
          <w:szCs w:val="24"/>
          <w:lang w:val="en-US" w:eastAsia="zh-CN"/>
        </w:rPr>
        <w:t>3、注意矿区周边自然环境，保护植被，山体等，防止开采过程中造成的水土流失，严格落实水土保持的各项措施。</w:t>
      </w:r>
    </w:p>
    <w:p>
      <w:pPr>
        <w:pStyle w:val="18"/>
        <w:spacing w:line="360" w:lineRule="auto"/>
        <w:ind w:firstLine="480" w:firstLineChars="200"/>
        <w:rPr>
          <w:rFonts w:hint="default" w:ascii="Times New Roman" w:hAnsi="Times New Roman" w:cs="Times New Roman"/>
          <w:lang w:val="en-US" w:eastAsia="zh-CN"/>
        </w:rPr>
      </w:pPr>
      <w:r>
        <w:rPr>
          <w:rFonts w:hint="eastAsia" w:ascii="Times New Roman" w:hAnsi="Times New Roman" w:cs="Times New Roman"/>
          <w:color w:val="auto"/>
          <w:sz w:val="24"/>
          <w:szCs w:val="24"/>
          <w:lang w:val="en-US" w:eastAsia="zh-CN"/>
        </w:rPr>
        <w:t>4、</w:t>
      </w:r>
      <w:r>
        <w:rPr>
          <w:rFonts w:hint="default" w:ascii="Times New Roman" w:hAnsi="Times New Roman" w:cs="Times New Roman"/>
          <w:lang w:val="en-US" w:eastAsia="zh-CN"/>
        </w:rPr>
        <w:t>加强对炸药等火工用品仓库的定期检查，保证杜绝任何意外事故发生。</w:t>
      </w:r>
    </w:p>
    <w:p>
      <w:pPr>
        <w:pStyle w:val="2"/>
        <w:ind w:firstLine="480" w:firstLineChars="200"/>
        <w:rPr>
          <w:rFonts w:hint="eastAsia"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lang w:val="en-US" w:eastAsia="zh-CN"/>
        </w:rPr>
        <w:t>5、在以后的生产过程中注意遵守清洁生产原则，保护自然环境。</w:t>
      </w:r>
    </w:p>
    <w:p>
      <w:pPr>
        <w:pStyle w:val="2"/>
        <w:ind w:firstLine="480" w:firstLineChars="200"/>
        <w:rPr>
          <w:rFonts w:hint="eastAsia" w:ascii="Times New Roman" w:hAnsi="Times New Roman" w:cs="Times New Roman"/>
          <w:lang w:val="en-US" w:eastAsia="zh-CN"/>
        </w:rPr>
      </w:pPr>
      <w:bookmarkStart w:id="470" w:name="_GoBack"/>
      <w:bookmarkEnd w:id="470"/>
    </w:p>
    <w:p>
      <w:pPr>
        <w:pStyle w:val="2"/>
        <w:ind w:firstLine="480" w:firstLineChars="200"/>
        <w:rPr>
          <w:rFonts w:hint="eastAsia" w:ascii="Times New Roman" w:hAnsi="Times New Roman" w:cs="Times New Roman"/>
          <w:lang w:val="en-US" w:eastAsia="zh-CN"/>
        </w:rPr>
      </w:pPr>
    </w:p>
    <w:p>
      <w:pPr>
        <w:pStyle w:val="2"/>
        <w:ind w:firstLine="480" w:firstLineChars="200"/>
        <w:rPr>
          <w:rFonts w:hint="eastAsia"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imes New Roman" w:hAnsi="Times New Roman"/>
          <w:b/>
          <w:color w:val="000000" w:themeColor="text1"/>
          <w:shd w:val="clear" w:color="auto" w:fill="auto"/>
          <w14:textFill>
            <w14:solidFill>
              <w14:schemeClr w14:val="tx1"/>
            </w14:solidFill>
          </w14:textFill>
        </w:rPr>
      </w:pPr>
      <w:r>
        <w:rPr>
          <w:rFonts w:ascii="Times New Roman" w:hAnsi="Times New Roman"/>
          <w:b/>
          <w:color w:val="000000" w:themeColor="text1"/>
          <w:shd w:val="clear" w:color="auto" w:fill="auto"/>
          <w14:textFill>
            <w14:solidFill>
              <w14:schemeClr w14:val="tx1"/>
            </w14:solidFill>
          </w14:textFill>
        </w:rPr>
        <w:t>建设项目竣工环境保护</w:t>
      </w:r>
      <w:r>
        <w:rPr>
          <w:rFonts w:hint="eastAsia" w:ascii="宋体" w:hAnsi="宋体" w:eastAsia="宋体" w:cs="宋体"/>
          <w:b/>
          <w:color w:val="000000" w:themeColor="text1"/>
          <w:shd w:val="clear" w:color="auto" w:fill="auto"/>
          <w14:textFill>
            <w14:solidFill>
              <w14:schemeClr w14:val="tx1"/>
            </w14:solidFill>
          </w14:textFill>
        </w:rPr>
        <w:t>“三同时”</w:t>
      </w:r>
      <w:r>
        <w:rPr>
          <w:rFonts w:ascii="Times New Roman" w:hAnsi="Times New Roman"/>
          <w:b/>
          <w:color w:val="000000" w:themeColor="text1"/>
          <w:shd w:val="clear" w:color="auto" w:fill="auto"/>
          <w14:textFill>
            <w14:solidFill>
              <w14:schemeClr w14:val="tx1"/>
            </w14:solidFill>
          </w14:textFill>
        </w:rPr>
        <w:t>验收登记表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540" w:firstLineChars="300"/>
        <w:jc w:val="both"/>
        <w:textAlignment w:val="auto"/>
        <w:outlineLvl w:val="9"/>
        <w:rPr>
          <w:rFonts w:ascii="Times New Roman" w:hAnsi="Times New Roman"/>
          <w:color w:val="000000" w:themeColor="text1"/>
          <w:sz w:val="18"/>
          <w:szCs w:val="18"/>
          <w:shd w:val="clear" w:color="auto" w:fill="auto"/>
          <w14:textFill>
            <w14:solidFill>
              <w14:schemeClr w14:val="tx1"/>
            </w14:solidFill>
          </w14:textFill>
        </w:rPr>
      </w:pPr>
      <w:r>
        <w:rPr>
          <w:rFonts w:ascii="Times New Roman" w:hAnsi="Times New Roman"/>
          <w:color w:val="000000" w:themeColor="text1"/>
          <w:sz w:val="18"/>
          <w:szCs w:val="18"/>
          <w:shd w:val="clear" w:color="auto" w:fill="auto"/>
          <w14:textFill>
            <w14:solidFill>
              <w14:schemeClr w14:val="tx1"/>
            </w14:solidFill>
          </w14:textFill>
        </w:rPr>
        <w:t>填表单位（盖章）：安徽环科检测中心有限公司                   填表人（签字）：                                       项目经办人（签字）：</w:t>
      </w:r>
    </w:p>
    <w:tbl>
      <w:tblPr>
        <w:tblStyle w:val="16"/>
        <w:tblW w:w="1397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5"/>
        <w:gridCol w:w="1297"/>
        <w:gridCol w:w="720"/>
        <w:gridCol w:w="645"/>
        <w:gridCol w:w="294"/>
        <w:gridCol w:w="861"/>
        <w:gridCol w:w="63"/>
        <w:gridCol w:w="449"/>
        <w:gridCol w:w="236"/>
        <w:gridCol w:w="299"/>
        <w:gridCol w:w="436"/>
        <w:gridCol w:w="301"/>
        <w:gridCol w:w="196"/>
        <w:gridCol w:w="10"/>
        <w:gridCol w:w="605"/>
        <w:gridCol w:w="314"/>
        <w:gridCol w:w="895"/>
        <w:gridCol w:w="468"/>
        <w:gridCol w:w="453"/>
        <w:gridCol w:w="691"/>
        <w:gridCol w:w="568"/>
        <w:gridCol w:w="555"/>
        <w:gridCol w:w="398"/>
        <w:gridCol w:w="726"/>
        <w:gridCol w:w="72"/>
        <w:gridCol w:w="169"/>
        <w:gridCol w:w="140"/>
        <w:gridCol w:w="691"/>
        <w:gridCol w:w="137"/>
        <w:gridCol w:w="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restar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建</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设</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项</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目</w:t>
            </w: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项   目   名   称</w:t>
            </w:r>
          </w:p>
        </w:tc>
        <w:tc>
          <w:tcPr>
            <w:tcW w:w="4395" w:type="dxa"/>
            <w:gridSpan w:val="1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eastAsia="zh-CN"/>
                <w14:textFill>
                  <w14:solidFill>
                    <w14:schemeClr w14:val="tx1"/>
                  </w14:solidFill>
                </w14:textFill>
              </w:rPr>
            </w:pPr>
            <w:r>
              <w:rPr>
                <w:rFonts w:hint="default" w:ascii="Times New Roman" w:hAnsi="Times New Roman" w:cs="Times New Roman"/>
                <w:color w:val="000000" w:themeColor="text1"/>
                <w:sz w:val="15"/>
                <w:szCs w:val="15"/>
                <w:shd w:val="clear" w:color="auto" w:fill="auto"/>
                <w:lang w:eastAsia="zh-CN"/>
                <w14:textFill>
                  <w14:solidFill>
                    <w14:schemeClr w14:val="tx1"/>
                  </w14:solidFill>
                </w14:textFill>
              </w:rPr>
              <w:t>年产</w:t>
            </w:r>
            <w:r>
              <w:rPr>
                <w:rFonts w:hint="default" w:ascii="Times New Roman" w:hAnsi="Times New Roman" w:cs="Times New Roman"/>
                <w:color w:val="000000" w:themeColor="text1"/>
                <w:sz w:val="15"/>
                <w:szCs w:val="15"/>
                <w:shd w:val="clear" w:color="auto" w:fill="auto"/>
                <w:lang w:val="en-US" w:eastAsia="zh-CN"/>
                <w14:textFill>
                  <w14:solidFill>
                    <w14:schemeClr w14:val="tx1"/>
                  </w14:solidFill>
                </w14:textFill>
              </w:rPr>
              <w:t>2万吨铅锌矿石原矿采矿技改整合扩建项目</w:t>
            </w:r>
          </w:p>
        </w:tc>
        <w:tc>
          <w:tcPr>
            <w:tcW w:w="167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建   设   地   点</w:t>
            </w:r>
          </w:p>
        </w:tc>
        <w:tc>
          <w:tcPr>
            <w:tcW w:w="5329" w:type="dxa"/>
            <w:gridSpan w:val="1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eastAsia="zh-CN"/>
                <w14:textFill>
                  <w14:solidFill>
                    <w14:schemeClr w14:val="tx1"/>
                  </w14:solidFill>
                </w14:textFill>
              </w:rPr>
            </w:pPr>
            <w:r>
              <w:rPr>
                <w:rFonts w:hint="eastAsia"/>
                <w:color w:val="000000" w:themeColor="text1"/>
                <w:sz w:val="15"/>
                <w:szCs w:val="15"/>
                <w:lang w:eastAsia="zh-CN"/>
                <w14:textFill>
                  <w14:solidFill>
                    <w14:schemeClr w14:val="tx1"/>
                  </w14:solidFill>
                </w14:textFill>
              </w:rPr>
              <w:t>安徽省池州市贵池区梅街镇姚街村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行   业   类   别</w:t>
            </w:r>
          </w:p>
        </w:tc>
        <w:tc>
          <w:tcPr>
            <w:tcW w:w="4395" w:type="dxa"/>
            <w:gridSpan w:val="1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val="en-US" w:eastAsia="zh-CN"/>
                <w14:textFill>
                  <w14:solidFill>
                    <w14:schemeClr w14:val="tx1"/>
                  </w14:solidFill>
                </w14:textFill>
              </w:rPr>
            </w:pPr>
          </w:p>
        </w:tc>
        <w:tc>
          <w:tcPr>
            <w:tcW w:w="167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建   设   性   质</w:t>
            </w:r>
          </w:p>
        </w:tc>
        <w:tc>
          <w:tcPr>
            <w:tcW w:w="5329" w:type="dxa"/>
            <w:gridSpan w:val="1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新建（</w:t>
            </w:r>
            <w:r>
              <w:rPr>
                <w:rFonts w:hint="eastAsia" w:ascii="Times New Roman" w:hAnsi="Times New Roman"/>
                <w:color w:val="000000" w:themeColor="text1"/>
                <w:kern w:val="0"/>
                <w:sz w:val="15"/>
                <w:szCs w:val="15"/>
                <w:shd w:val="clear" w:color="auto" w:fill="auto"/>
                <w:lang w:val="en-US" w:eastAsia="zh-CN"/>
                <w14:textFill>
                  <w14:solidFill>
                    <w14:schemeClr w14:val="tx1"/>
                  </w14:solidFill>
                </w14:textFill>
              </w:rPr>
              <w:t xml:space="preserve"> </w:t>
            </w:r>
            <w:r>
              <w:rPr>
                <w:rFonts w:hint="eastAsia"/>
                <w:color w:val="000000" w:themeColor="text1"/>
                <w:kern w:val="0"/>
                <w:sz w:val="15"/>
                <w:szCs w:val="15"/>
                <w:shd w:val="clear" w:color="auto" w:fill="auto"/>
                <w:lang w:val="en-US" w:eastAsia="zh-CN"/>
                <w14:textFill>
                  <w14:solidFill>
                    <w14:schemeClr w14:val="tx1"/>
                  </w14:solidFill>
                </w14:textFill>
              </w:rPr>
              <w:t xml:space="preserve"> </w:t>
            </w:r>
            <w:r>
              <w:rPr>
                <w:rFonts w:hint="default" w:ascii="Times New Roman" w:hAnsi="Times New Roman"/>
                <w:color w:val="000000" w:themeColor="text1"/>
                <w:kern w:val="0"/>
                <w:sz w:val="15"/>
                <w:szCs w:val="15"/>
                <w:shd w:val="clear" w:color="auto" w:fill="auto"/>
                <w14:textFill>
                  <w14:solidFill>
                    <w14:schemeClr w14:val="tx1"/>
                  </w14:solidFill>
                </w14:textFill>
              </w:rPr>
              <w:t xml:space="preserve"> ）              改扩建（ √</w:t>
            </w:r>
            <w:r>
              <w:rPr>
                <w:rFonts w:hint="eastAsia"/>
                <w:color w:val="000000" w:themeColor="text1"/>
                <w:kern w:val="0"/>
                <w:sz w:val="15"/>
                <w:szCs w:val="15"/>
                <w:shd w:val="clear" w:color="auto" w:fill="auto"/>
                <w:lang w:val="en-US" w:eastAsia="zh-CN"/>
                <w14:textFill>
                  <w14:solidFill>
                    <w14:schemeClr w14:val="tx1"/>
                  </w14:solidFill>
                </w14:textFill>
              </w:rPr>
              <w:t xml:space="preserve"> </w:t>
            </w:r>
            <w:r>
              <w:rPr>
                <w:rFonts w:hint="default" w:ascii="Times New Roman" w:hAnsi="Times New Roman"/>
                <w:color w:val="000000" w:themeColor="text1"/>
                <w:kern w:val="0"/>
                <w:sz w:val="15"/>
                <w:szCs w:val="15"/>
                <w:shd w:val="clear" w:color="auto" w:fill="auto"/>
                <w14:textFill>
                  <w14:solidFill>
                    <w14:schemeClr w14:val="tx1"/>
                  </w14:solidFill>
                </w14:textFill>
              </w:rPr>
              <w:t>）           技术改造（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设 计 生 产 能 力</w:t>
            </w:r>
          </w:p>
        </w:tc>
        <w:tc>
          <w:tcPr>
            <w:tcW w:w="1800"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val="en-US" w:eastAsia="zh-CN"/>
                <w14:textFill>
                  <w14:solidFill>
                    <w14:schemeClr w14:val="tx1"/>
                  </w14:solidFill>
                </w14:textFill>
              </w:rPr>
            </w:pPr>
            <w:r>
              <w:rPr>
                <w:rFonts w:hint="eastAsia"/>
                <w:color w:val="000000" w:themeColor="text1"/>
                <w:kern w:val="0"/>
                <w:sz w:val="15"/>
                <w:szCs w:val="15"/>
                <w:shd w:val="clear" w:color="auto" w:fill="auto"/>
                <w:lang w:val="en-US" w:eastAsia="zh-CN"/>
                <w14:textFill>
                  <w14:solidFill>
                    <w14:schemeClr w14:val="tx1"/>
                  </w14:solidFill>
                </w14:textFill>
              </w:rPr>
              <w:t>20000t/a原矿</w:t>
            </w:r>
          </w:p>
        </w:tc>
        <w:tc>
          <w:tcPr>
            <w:tcW w:w="1483"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建设项目开工日期</w:t>
            </w:r>
          </w:p>
        </w:tc>
        <w:tc>
          <w:tcPr>
            <w:tcW w:w="1112"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val="en-US" w:eastAsia="zh-CN"/>
                <w14:textFill>
                  <w14:solidFill>
                    <w14:schemeClr w14:val="tx1"/>
                  </w14:solidFill>
                </w14:textFill>
              </w:rPr>
            </w:pPr>
            <w:r>
              <w:rPr>
                <w:rFonts w:hint="default" w:ascii="Times New Roman" w:hAnsi="Times New Roman" w:cs="Times New Roman"/>
                <w:color w:val="auto"/>
                <w:kern w:val="0"/>
                <w:sz w:val="15"/>
                <w:szCs w:val="15"/>
                <w:lang w:val="en-US" w:eastAsia="zh-CN"/>
              </w:rPr>
              <w:t>2011</w:t>
            </w:r>
            <w:r>
              <w:rPr>
                <w:rFonts w:hint="eastAsia" w:cs="Times New Roman"/>
                <w:color w:val="auto"/>
                <w:kern w:val="0"/>
                <w:sz w:val="15"/>
                <w:szCs w:val="15"/>
                <w:lang w:val="en-US" w:eastAsia="zh-CN"/>
              </w:rPr>
              <w:t>.</w:t>
            </w:r>
            <w:r>
              <w:rPr>
                <w:rFonts w:hint="default" w:ascii="Times New Roman" w:hAnsi="Times New Roman" w:cs="Times New Roman"/>
                <w:color w:val="auto"/>
                <w:kern w:val="0"/>
                <w:sz w:val="15"/>
                <w:szCs w:val="15"/>
                <w:lang w:val="en-US" w:eastAsia="zh-CN"/>
              </w:rPr>
              <w:t>9</w:t>
            </w:r>
            <w:r>
              <w:rPr>
                <w:rFonts w:hint="eastAsia" w:cs="Times New Roman"/>
                <w:color w:val="auto"/>
                <w:kern w:val="0"/>
                <w:sz w:val="15"/>
                <w:szCs w:val="15"/>
                <w:lang w:val="en-US" w:eastAsia="zh-CN"/>
              </w:rPr>
              <w:t>.</w:t>
            </w:r>
            <w:r>
              <w:rPr>
                <w:rFonts w:hint="default" w:ascii="Times New Roman" w:hAnsi="Times New Roman" w:cs="Times New Roman"/>
                <w:color w:val="auto"/>
                <w:kern w:val="0"/>
                <w:sz w:val="15"/>
                <w:szCs w:val="15"/>
                <w:lang w:val="en-US" w:eastAsia="zh-CN"/>
              </w:rPr>
              <w:t>5</w:t>
            </w:r>
          </w:p>
        </w:tc>
        <w:tc>
          <w:tcPr>
            <w:tcW w:w="167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实 际 生 成 能 力</w:t>
            </w:r>
          </w:p>
        </w:tc>
        <w:tc>
          <w:tcPr>
            <w:tcW w:w="226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eastAsia"/>
                <w:color w:val="000000" w:themeColor="text1"/>
                <w:kern w:val="0"/>
                <w:sz w:val="15"/>
                <w:szCs w:val="15"/>
                <w:shd w:val="clear" w:color="auto" w:fill="auto"/>
                <w:lang w:val="en-US" w:eastAsia="zh-CN"/>
                <w14:textFill>
                  <w14:solidFill>
                    <w14:schemeClr w14:val="tx1"/>
                  </w14:solidFill>
                </w14:textFill>
              </w:rPr>
              <w:t>20000t/a原矿</w:t>
            </w:r>
          </w:p>
        </w:tc>
        <w:tc>
          <w:tcPr>
            <w:tcW w:w="1505"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投入试运行日期</w:t>
            </w:r>
          </w:p>
        </w:tc>
        <w:tc>
          <w:tcPr>
            <w:tcW w:w="155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val="en-US" w:eastAsia="zh-CN"/>
                <w14:textFill>
                  <w14:solidFill>
                    <w14:schemeClr w14:val="tx1"/>
                  </w14:solidFill>
                </w14:textFill>
              </w:rPr>
            </w:pPr>
            <w:r>
              <w:rPr>
                <w:rFonts w:hint="default" w:ascii="Times New Roman" w:hAnsi="Times New Roman" w:cs="Times New Roman"/>
                <w:color w:val="auto"/>
                <w:kern w:val="0"/>
                <w:sz w:val="15"/>
                <w:szCs w:val="15"/>
                <w:lang w:val="en-US" w:eastAsia="zh-CN"/>
              </w:rPr>
              <w:t>2013</w:t>
            </w:r>
            <w:r>
              <w:rPr>
                <w:rFonts w:hint="eastAsia" w:cs="Times New Roman"/>
                <w:color w:val="auto"/>
                <w:kern w:val="0"/>
                <w:sz w:val="15"/>
                <w:szCs w:val="15"/>
                <w:lang w:val="en-US" w:eastAsia="zh-CN"/>
              </w:rPr>
              <w:t>.</w:t>
            </w:r>
            <w:r>
              <w:rPr>
                <w:rFonts w:hint="default" w:ascii="Times New Roman" w:hAnsi="Times New Roman" w:cs="Times New Roman"/>
                <w:color w:val="auto"/>
                <w:kern w:val="0"/>
                <w:sz w:val="15"/>
                <w:szCs w:val="15"/>
                <w:lang w:val="en-US" w:eastAsia="zh-CN"/>
              </w:rPr>
              <w:t>1</w:t>
            </w:r>
            <w:r>
              <w:rPr>
                <w:rFonts w:hint="eastAsia" w:cs="Times New Roman"/>
                <w:color w:val="auto"/>
                <w:kern w:val="0"/>
                <w:sz w:val="15"/>
                <w:szCs w:val="15"/>
                <w:lang w:val="en-US" w:eastAsia="zh-CN"/>
              </w:rPr>
              <w:t>.</w:t>
            </w:r>
            <w:r>
              <w:rPr>
                <w:rFonts w:hint="default" w:ascii="Times New Roman" w:hAnsi="Times New Roman" w:cs="Times New Roman"/>
                <w:color w:val="auto"/>
                <w:kern w:val="0"/>
                <w:sz w:val="15"/>
                <w:szCs w:val="15"/>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投资总概算（万元）</w:t>
            </w:r>
          </w:p>
        </w:tc>
        <w:tc>
          <w:tcPr>
            <w:tcW w:w="4395" w:type="dxa"/>
            <w:gridSpan w:val="1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eastAsia="zh-CN"/>
                <w14:textFill>
                  <w14:solidFill>
                    <w14:schemeClr w14:val="tx1"/>
                  </w14:solidFill>
                </w14:textFill>
              </w:rPr>
            </w:pPr>
            <w:r>
              <w:rPr>
                <w:rFonts w:hint="eastAsia"/>
                <w:color w:val="000000" w:themeColor="text1"/>
                <w:kern w:val="0"/>
                <w:sz w:val="15"/>
                <w:szCs w:val="15"/>
                <w:shd w:val="clear" w:color="auto" w:fill="auto"/>
                <w:lang w:val="en-US" w:eastAsia="zh-CN"/>
                <w14:textFill>
                  <w14:solidFill>
                    <w14:schemeClr w14:val="tx1"/>
                  </w14:solidFill>
                </w14:textFill>
              </w:rPr>
              <w:t>380</w:t>
            </w:r>
          </w:p>
        </w:tc>
        <w:tc>
          <w:tcPr>
            <w:tcW w:w="167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环保投资总概算（万元）</w:t>
            </w:r>
          </w:p>
        </w:tc>
        <w:tc>
          <w:tcPr>
            <w:tcW w:w="226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val="en-US" w:eastAsia="zh-CN"/>
                <w14:textFill>
                  <w14:solidFill>
                    <w14:schemeClr w14:val="tx1"/>
                  </w14:solidFill>
                </w14:textFill>
              </w:rPr>
            </w:pPr>
            <w:r>
              <w:rPr>
                <w:rFonts w:hint="eastAsia"/>
                <w:color w:val="000000" w:themeColor="text1"/>
                <w:kern w:val="0"/>
                <w:sz w:val="15"/>
                <w:szCs w:val="15"/>
                <w:shd w:val="clear" w:color="auto" w:fill="auto"/>
                <w:lang w:val="en-US" w:eastAsia="zh-CN"/>
                <w14:textFill>
                  <w14:solidFill>
                    <w14:schemeClr w14:val="tx1"/>
                  </w14:solidFill>
                </w14:textFill>
              </w:rPr>
              <w:t>130.84</w:t>
            </w:r>
          </w:p>
        </w:tc>
        <w:tc>
          <w:tcPr>
            <w:tcW w:w="1505"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所占比列（%）</w:t>
            </w:r>
          </w:p>
        </w:tc>
        <w:tc>
          <w:tcPr>
            <w:tcW w:w="155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val="en-US" w:eastAsia="zh-CN"/>
                <w14:textFill>
                  <w14:solidFill>
                    <w14:schemeClr w14:val="tx1"/>
                  </w14:solidFill>
                </w14:textFill>
              </w:rPr>
            </w:pPr>
            <w:r>
              <w:rPr>
                <w:rFonts w:hint="eastAsia"/>
                <w:color w:val="000000" w:themeColor="text1"/>
                <w:kern w:val="0"/>
                <w:sz w:val="15"/>
                <w:szCs w:val="15"/>
                <w:shd w:val="clear" w:color="auto" w:fill="auto"/>
                <w:lang w:val="en-US" w:eastAsia="zh-CN"/>
                <w14:textFill>
                  <w14:solidFill>
                    <w14:schemeClr w14:val="tx1"/>
                  </w14:solidFill>
                </w14:textFill>
              </w:rPr>
              <w:t>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环评审批部门</w:t>
            </w:r>
          </w:p>
        </w:tc>
        <w:tc>
          <w:tcPr>
            <w:tcW w:w="4395" w:type="dxa"/>
            <w:gridSpan w:val="1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eastAsia"/>
                <w:color w:val="000000" w:themeColor="text1"/>
                <w:kern w:val="0"/>
                <w:sz w:val="15"/>
                <w:szCs w:val="15"/>
                <w:shd w:val="clear" w:color="auto" w:fill="auto"/>
                <w:lang w:val="en-US" w:eastAsia="zh-CN"/>
                <w14:textFill>
                  <w14:solidFill>
                    <w14:schemeClr w14:val="tx1"/>
                  </w14:solidFill>
                </w14:textFill>
              </w:rPr>
              <w:t>安徽省环境保护厅</w:t>
            </w:r>
          </w:p>
        </w:tc>
        <w:tc>
          <w:tcPr>
            <w:tcW w:w="167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批   准   文   号</w:t>
            </w:r>
          </w:p>
        </w:tc>
        <w:tc>
          <w:tcPr>
            <w:tcW w:w="226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eastAsia"/>
                <w:color w:val="000000" w:themeColor="text1"/>
                <w:kern w:val="0"/>
                <w:sz w:val="15"/>
                <w:szCs w:val="15"/>
                <w:shd w:val="clear" w:color="auto" w:fill="auto"/>
                <w:lang w:eastAsia="zh-CN"/>
                <w14:textFill>
                  <w14:solidFill>
                    <w14:schemeClr w14:val="tx1"/>
                  </w14:solidFill>
                </w14:textFill>
              </w:rPr>
              <w:t>环评函</w:t>
            </w:r>
            <w:r>
              <w:rPr>
                <w:rFonts w:hint="default" w:ascii="Times New Roman" w:hAnsi="Times New Roman"/>
                <w:color w:val="000000" w:themeColor="text1"/>
                <w:kern w:val="0"/>
                <w:sz w:val="15"/>
                <w:szCs w:val="15"/>
                <w:shd w:val="clear" w:color="auto" w:fill="auto"/>
                <w14:textFill>
                  <w14:solidFill>
                    <w14:schemeClr w14:val="tx1"/>
                  </w14:solidFill>
                </w14:textFill>
              </w:rPr>
              <w:t>[201</w:t>
            </w:r>
            <w:r>
              <w:rPr>
                <w:rFonts w:hint="eastAsia"/>
                <w:color w:val="000000" w:themeColor="text1"/>
                <w:kern w:val="0"/>
                <w:sz w:val="15"/>
                <w:szCs w:val="15"/>
                <w:shd w:val="clear" w:color="auto" w:fill="auto"/>
                <w:lang w:val="en-US" w:eastAsia="zh-CN"/>
                <w14:textFill>
                  <w14:solidFill>
                    <w14:schemeClr w14:val="tx1"/>
                  </w14:solidFill>
                </w14:textFill>
              </w:rPr>
              <w:t>1</w:t>
            </w:r>
            <w:r>
              <w:rPr>
                <w:rFonts w:hint="default" w:ascii="Times New Roman" w:hAnsi="Times New Roman"/>
                <w:color w:val="000000" w:themeColor="text1"/>
                <w:kern w:val="0"/>
                <w:sz w:val="15"/>
                <w:szCs w:val="15"/>
                <w:shd w:val="clear" w:color="auto" w:fill="auto"/>
                <w14:textFill>
                  <w14:solidFill>
                    <w14:schemeClr w14:val="tx1"/>
                  </w14:solidFill>
                </w14:textFill>
              </w:rPr>
              <w:t>]</w:t>
            </w:r>
            <w:r>
              <w:rPr>
                <w:rFonts w:hint="eastAsia"/>
                <w:color w:val="000000" w:themeColor="text1"/>
                <w:kern w:val="0"/>
                <w:sz w:val="15"/>
                <w:szCs w:val="15"/>
                <w:shd w:val="clear" w:color="auto" w:fill="auto"/>
                <w:lang w:val="en-US" w:eastAsia="zh-CN"/>
                <w14:textFill>
                  <w14:solidFill>
                    <w14:schemeClr w14:val="tx1"/>
                  </w14:solidFill>
                </w14:textFill>
              </w:rPr>
              <w:t>881</w:t>
            </w:r>
            <w:r>
              <w:rPr>
                <w:rFonts w:hint="default" w:ascii="Times New Roman" w:hAnsi="Times New Roman"/>
                <w:color w:val="000000" w:themeColor="text1"/>
                <w:kern w:val="0"/>
                <w:sz w:val="15"/>
                <w:szCs w:val="15"/>
                <w:shd w:val="clear" w:color="auto" w:fill="auto"/>
                <w14:textFill>
                  <w14:solidFill>
                    <w14:schemeClr w14:val="tx1"/>
                  </w14:solidFill>
                </w14:textFill>
              </w:rPr>
              <w:t>号</w:t>
            </w:r>
          </w:p>
        </w:tc>
        <w:tc>
          <w:tcPr>
            <w:tcW w:w="1505"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批  准  时  间</w:t>
            </w:r>
          </w:p>
        </w:tc>
        <w:tc>
          <w:tcPr>
            <w:tcW w:w="155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201</w:t>
            </w:r>
            <w:r>
              <w:rPr>
                <w:rFonts w:hint="eastAsia"/>
                <w:color w:val="000000" w:themeColor="text1"/>
                <w:kern w:val="0"/>
                <w:sz w:val="15"/>
                <w:szCs w:val="15"/>
                <w:shd w:val="clear" w:color="auto" w:fill="auto"/>
                <w:lang w:val="en-US" w:eastAsia="zh-CN"/>
                <w14:textFill>
                  <w14:solidFill>
                    <w14:schemeClr w14:val="tx1"/>
                  </w14:solidFill>
                </w14:textFill>
              </w:rPr>
              <w:t>1</w:t>
            </w:r>
            <w:r>
              <w:rPr>
                <w:rFonts w:hint="default" w:ascii="Times New Roman" w:hAnsi="Times New Roman"/>
                <w:color w:val="000000" w:themeColor="text1"/>
                <w:kern w:val="0"/>
                <w:sz w:val="15"/>
                <w:szCs w:val="15"/>
                <w:shd w:val="clear" w:color="auto" w:fill="auto"/>
                <w14:textFill>
                  <w14:solidFill>
                    <w14:schemeClr w14:val="tx1"/>
                  </w14:solidFill>
                </w14:textFill>
              </w:rPr>
              <w:t>年</w:t>
            </w:r>
            <w:r>
              <w:rPr>
                <w:rFonts w:hint="eastAsia"/>
                <w:color w:val="000000" w:themeColor="text1"/>
                <w:kern w:val="0"/>
                <w:sz w:val="15"/>
                <w:szCs w:val="15"/>
                <w:shd w:val="clear" w:color="auto" w:fill="auto"/>
                <w:lang w:val="en-US" w:eastAsia="zh-CN"/>
                <w14:textFill>
                  <w14:solidFill>
                    <w14:schemeClr w14:val="tx1"/>
                  </w14:solidFill>
                </w14:textFill>
              </w:rPr>
              <w:t>8</w:t>
            </w:r>
            <w:r>
              <w:rPr>
                <w:rFonts w:hint="default" w:ascii="Times New Roman" w:hAnsi="Times New Roman"/>
                <w:color w:val="000000" w:themeColor="text1"/>
                <w:kern w:val="0"/>
                <w:sz w:val="15"/>
                <w:szCs w:val="15"/>
                <w:shd w:val="clear" w:color="auto" w:fill="auto"/>
                <w14:textFill>
                  <w14:solidFill>
                    <w14:schemeClr w14:val="tx1"/>
                  </w14:solidFill>
                </w14:textFill>
              </w:rPr>
              <w:t>月</w:t>
            </w:r>
            <w:r>
              <w:rPr>
                <w:rFonts w:hint="eastAsia"/>
                <w:color w:val="000000" w:themeColor="text1"/>
                <w:kern w:val="0"/>
                <w:sz w:val="15"/>
                <w:szCs w:val="15"/>
                <w:shd w:val="clear" w:color="auto" w:fill="auto"/>
                <w:lang w:val="en-US" w:eastAsia="zh-CN"/>
                <w14:textFill>
                  <w14:solidFill>
                    <w14:schemeClr w14:val="tx1"/>
                  </w14:solidFill>
                </w14:textFill>
              </w:rPr>
              <w:t>23</w:t>
            </w:r>
            <w:r>
              <w:rPr>
                <w:rFonts w:hint="default" w:ascii="Times New Roman" w:hAnsi="Times New Roman"/>
                <w:color w:val="000000" w:themeColor="text1"/>
                <w:kern w:val="0"/>
                <w:sz w:val="15"/>
                <w:szCs w:val="15"/>
                <w:shd w:val="clear" w:color="auto" w:fill="auto"/>
                <w14:textFill>
                  <w14:solidFill>
                    <w14:schemeClr w14:val="tx1"/>
                  </w14:solidFill>
                </w14:textFill>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初步设计审批部门</w:t>
            </w:r>
          </w:p>
        </w:tc>
        <w:tc>
          <w:tcPr>
            <w:tcW w:w="4395" w:type="dxa"/>
            <w:gridSpan w:val="1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val="en-US" w:eastAsia="zh-CN"/>
                <w14:textFill>
                  <w14:solidFill>
                    <w14:schemeClr w14:val="tx1"/>
                  </w14:solidFill>
                </w14:textFill>
              </w:rPr>
            </w:pPr>
            <w:r>
              <w:rPr>
                <w:rFonts w:hint="eastAsia"/>
                <w:color w:val="000000" w:themeColor="text1"/>
                <w:kern w:val="0"/>
                <w:sz w:val="15"/>
                <w:szCs w:val="15"/>
                <w:shd w:val="clear" w:color="auto" w:fill="auto"/>
                <w:lang w:val="en-US" w:eastAsia="zh-CN"/>
                <w14:textFill>
                  <w14:solidFill>
                    <w14:schemeClr w14:val="tx1"/>
                  </w14:solidFill>
                </w14:textFill>
              </w:rPr>
              <w:t>/</w:t>
            </w:r>
          </w:p>
        </w:tc>
        <w:tc>
          <w:tcPr>
            <w:tcW w:w="167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批   准   文   号</w:t>
            </w:r>
          </w:p>
        </w:tc>
        <w:tc>
          <w:tcPr>
            <w:tcW w:w="226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val="en-US" w:eastAsia="zh-CN"/>
                <w14:textFill>
                  <w14:solidFill>
                    <w14:schemeClr w14:val="tx1"/>
                  </w14:solidFill>
                </w14:textFill>
              </w:rPr>
            </w:pPr>
            <w:r>
              <w:rPr>
                <w:rFonts w:hint="eastAsia"/>
                <w:color w:val="000000" w:themeColor="text1"/>
                <w:kern w:val="0"/>
                <w:sz w:val="15"/>
                <w:szCs w:val="15"/>
                <w:shd w:val="clear" w:color="auto" w:fill="auto"/>
                <w:lang w:val="en-US" w:eastAsia="zh-CN"/>
                <w14:textFill>
                  <w14:solidFill>
                    <w14:schemeClr w14:val="tx1"/>
                  </w14:solidFill>
                </w14:textFill>
              </w:rPr>
              <w:t>/</w:t>
            </w:r>
          </w:p>
        </w:tc>
        <w:tc>
          <w:tcPr>
            <w:tcW w:w="1505"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批  准  时  间</w:t>
            </w:r>
          </w:p>
        </w:tc>
        <w:tc>
          <w:tcPr>
            <w:tcW w:w="155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val="en-US" w:eastAsia="zh-CN"/>
                <w14:textFill>
                  <w14:solidFill>
                    <w14:schemeClr w14:val="tx1"/>
                  </w14:solidFill>
                </w14:textFill>
              </w:rPr>
            </w:pPr>
            <w:r>
              <w:rPr>
                <w:rFonts w:hint="eastAsia"/>
                <w:color w:val="000000" w:themeColor="text1"/>
                <w:kern w:val="0"/>
                <w:sz w:val="15"/>
                <w:szCs w:val="15"/>
                <w:shd w:val="clear" w:color="auto" w:fill="auto"/>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环保验收审批部门</w:t>
            </w:r>
          </w:p>
        </w:tc>
        <w:tc>
          <w:tcPr>
            <w:tcW w:w="4395" w:type="dxa"/>
            <w:gridSpan w:val="1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val="en-US" w:eastAsia="zh-CN"/>
                <w14:textFill>
                  <w14:solidFill>
                    <w14:schemeClr w14:val="tx1"/>
                  </w14:solidFill>
                </w14:textFill>
              </w:rPr>
            </w:pPr>
            <w:r>
              <w:rPr>
                <w:rFonts w:hint="eastAsia"/>
                <w:color w:val="000000" w:themeColor="text1"/>
                <w:kern w:val="0"/>
                <w:sz w:val="15"/>
                <w:szCs w:val="15"/>
                <w:shd w:val="clear" w:color="auto" w:fill="auto"/>
                <w:lang w:val="en-US" w:eastAsia="zh-CN"/>
                <w14:textFill>
                  <w14:solidFill>
                    <w14:schemeClr w14:val="tx1"/>
                  </w14:solidFill>
                </w14:textFill>
              </w:rPr>
              <w:t>/</w:t>
            </w:r>
          </w:p>
        </w:tc>
        <w:tc>
          <w:tcPr>
            <w:tcW w:w="167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批   准   文   号</w:t>
            </w:r>
          </w:p>
        </w:tc>
        <w:tc>
          <w:tcPr>
            <w:tcW w:w="226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val="en-US" w:eastAsia="zh-CN"/>
                <w14:textFill>
                  <w14:solidFill>
                    <w14:schemeClr w14:val="tx1"/>
                  </w14:solidFill>
                </w14:textFill>
              </w:rPr>
            </w:pPr>
            <w:r>
              <w:rPr>
                <w:rFonts w:hint="eastAsia"/>
                <w:color w:val="000000" w:themeColor="text1"/>
                <w:kern w:val="0"/>
                <w:sz w:val="15"/>
                <w:szCs w:val="15"/>
                <w:shd w:val="clear" w:color="auto" w:fill="auto"/>
                <w:lang w:val="en-US" w:eastAsia="zh-CN"/>
                <w14:textFill>
                  <w14:solidFill>
                    <w14:schemeClr w14:val="tx1"/>
                  </w14:solidFill>
                </w14:textFill>
              </w:rPr>
              <w:t>/</w:t>
            </w:r>
          </w:p>
        </w:tc>
        <w:tc>
          <w:tcPr>
            <w:tcW w:w="1505"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000000" w:themeColor="text1"/>
                <w:kern w:val="0"/>
                <w:sz w:val="15"/>
                <w:szCs w:val="15"/>
                <w:shd w:val="clear" w:color="auto" w:fill="auto"/>
                <w14:textFill>
                  <w14:solidFill>
                    <w14:schemeClr w14:val="tx1"/>
                  </w14:solidFill>
                </w14:textFill>
              </w:rPr>
            </w:pPr>
            <w:r>
              <w:rPr>
                <w:rFonts w:hint="default" w:ascii="Times New Roman" w:hAnsi="Times New Roman"/>
                <w:color w:val="000000" w:themeColor="text1"/>
                <w:kern w:val="0"/>
                <w:sz w:val="15"/>
                <w:szCs w:val="15"/>
                <w:shd w:val="clear" w:color="auto" w:fill="auto"/>
                <w14:textFill>
                  <w14:solidFill>
                    <w14:schemeClr w14:val="tx1"/>
                  </w14:solidFill>
                </w14:textFill>
              </w:rPr>
              <w:t>批  准  时  间</w:t>
            </w:r>
          </w:p>
        </w:tc>
        <w:tc>
          <w:tcPr>
            <w:tcW w:w="155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000000" w:themeColor="text1"/>
                <w:kern w:val="0"/>
                <w:sz w:val="15"/>
                <w:szCs w:val="15"/>
                <w:shd w:val="clear" w:color="auto" w:fill="auto"/>
                <w:lang w:val="en-US" w:eastAsia="zh-CN"/>
                <w14:textFill>
                  <w14:solidFill>
                    <w14:schemeClr w14:val="tx1"/>
                  </w14:solidFill>
                </w14:textFill>
              </w:rPr>
            </w:pPr>
            <w:r>
              <w:rPr>
                <w:rFonts w:hint="eastAsia"/>
                <w:color w:val="000000" w:themeColor="text1"/>
                <w:kern w:val="0"/>
                <w:sz w:val="15"/>
                <w:szCs w:val="15"/>
                <w:shd w:val="clear" w:color="auto" w:fill="auto"/>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FF0000"/>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环保设施设计单位</w:t>
            </w:r>
          </w:p>
        </w:tc>
        <w:tc>
          <w:tcPr>
            <w:tcW w:w="2312"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w:t>
            </w:r>
          </w:p>
        </w:tc>
        <w:tc>
          <w:tcPr>
            <w:tcW w:w="1468"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环保设施施工单位</w:t>
            </w:r>
          </w:p>
        </w:tc>
        <w:tc>
          <w:tcPr>
            <w:tcW w:w="2292"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w:t>
            </w:r>
          </w:p>
        </w:tc>
        <w:tc>
          <w:tcPr>
            <w:tcW w:w="226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环保设施监测单位</w:t>
            </w:r>
          </w:p>
        </w:tc>
        <w:tc>
          <w:tcPr>
            <w:tcW w:w="3062" w:type="dxa"/>
            <w:gridSpan w:val="8"/>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安徽环科检测中心有限公司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FF0000"/>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实际总投资（万元）</w:t>
            </w:r>
          </w:p>
        </w:tc>
        <w:tc>
          <w:tcPr>
            <w:tcW w:w="4395" w:type="dxa"/>
            <w:gridSpan w:val="1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380</w:t>
            </w:r>
          </w:p>
        </w:tc>
        <w:tc>
          <w:tcPr>
            <w:tcW w:w="167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实际环保投资（万元）</w:t>
            </w:r>
          </w:p>
        </w:tc>
        <w:tc>
          <w:tcPr>
            <w:tcW w:w="226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130.84</w:t>
            </w:r>
          </w:p>
        </w:tc>
        <w:tc>
          <w:tcPr>
            <w:tcW w:w="1505"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所占比例（%）</w:t>
            </w:r>
          </w:p>
        </w:tc>
        <w:tc>
          <w:tcPr>
            <w:tcW w:w="155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FF0000"/>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废水治理 （万元）</w:t>
            </w:r>
          </w:p>
        </w:tc>
        <w:tc>
          <w:tcPr>
            <w:tcW w:w="64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20.8</w:t>
            </w:r>
          </w:p>
        </w:tc>
        <w:tc>
          <w:tcPr>
            <w:tcW w:w="1218"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废气治理</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（万元）</w:t>
            </w:r>
          </w:p>
        </w:tc>
        <w:tc>
          <w:tcPr>
            <w:tcW w:w="685"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19.4</w:t>
            </w:r>
          </w:p>
        </w:tc>
        <w:tc>
          <w:tcPr>
            <w:tcW w:w="1036"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噪声治理</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（万元）</w:t>
            </w:r>
          </w:p>
        </w:tc>
        <w:tc>
          <w:tcPr>
            <w:tcW w:w="811"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8</w:t>
            </w:r>
          </w:p>
        </w:tc>
        <w:tc>
          <w:tcPr>
            <w:tcW w:w="167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固废治理 （万元）</w:t>
            </w:r>
          </w:p>
        </w:tc>
        <w:tc>
          <w:tcPr>
            <w:tcW w:w="1144"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6</w:t>
            </w:r>
          </w:p>
        </w:tc>
        <w:tc>
          <w:tcPr>
            <w:tcW w:w="1123"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绿化及生态</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（万元）</w:t>
            </w:r>
          </w:p>
        </w:tc>
        <w:tc>
          <w:tcPr>
            <w:tcW w:w="1124"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9.4</w:t>
            </w:r>
          </w:p>
        </w:tc>
        <w:tc>
          <w:tcPr>
            <w:tcW w:w="1072"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其他</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（万元）</w:t>
            </w:r>
          </w:p>
        </w:tc>
        <w:tc>
          <w:tcPr>
            <w:tcW w:w="866"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67.24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2572"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建    设    单    位</w:t>
            </w:r>
          </w:p>
        </w:tc>
        <w:tc>
          <w:tcPr>
            <w:tcW w:w="2548" w:type="dxa"/>
            <w:gridSpan w:val="6"/>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池州市姚街新冲铅锌矿有限公司</w:t>
            </w:r>
          </w:p>
        </w:tc>
        <w:tc>
          <w:tcPr>
            <w:tcW w:w="1036"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邮政编码</w:t>
            </w:r>
          </w:p>
        </w:tc>
        <w:tc>
          <w:tcPr>
            <w:tcW w:w="811"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247120</w:t>
            </w:r>
          </w:p>
        </w:tc>
        <w:tc>
          <w:tcPr>
            <w:tcW w:w="1677"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联   系   电   话</w:t>
            </w:r>
          </w:p>
        </w:tc>
        <w:tc>
          <w:tcPr>
            <w:tcW w:w="2267" w:type="dxa"/>
            <w:gridSpan w:val="4"/>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eastAsia="仿宋" w:cs="Times New Roman"/>
                <w:color w:val="auto"/>
                <w:sz w:val="15"/>
                <w:szCs w:val="15"/>
                <w:shd w:val="clear" w:color="auto" w:fill="auto"/>
                <w:lang w:val="en-US" w:eastAsia="zh-CN"/>
              </w:rPr>
              <w:t>0566-4657263</w:t>
            </w:r>
          </w:p>
        </w:tc>
        <w:tc>
          <w:tcPr>
            <w:tcW w:w="1196" w:type="dxa"/>
            <w:gridSpan w:val="3"/>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环 评 单 位</w:t>
            </w:r>
          </w:p>
        </w:tc>
        <w:tc>
          <w:tcPr>
            <w:tcW w:w="1866" w:type="dxa"/>
            <w:gridSpan w:val="5"/>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eastAsia="zh-CN"/>
              </w:rPr>
            </w:pPr>
            <w:r>
              <w:rPr>
                <w:rFonts w:hint="eastAsia"/>
                <w:color w:val="auto"/>
                <w:kern w:val="0"/>
                <w:sz w:val="15"/>
                <w:szCs w:val="15"/>
                <w:shd w:val="clear" w:color="auto" w:fill="auto"/>
                <w:lang w:eastAsia="zh-CN"/>
              </w:rPr>
              <w:t>广东核力工程勘察院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restar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污染物排放达标与总量控制（工业建设项目详填）</w:t>
            </w: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污      染     物</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原有排放量（1）</w:t>
            </w: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本期工程实际排放浓度（2）</w:t>
            </w: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本期工程允许排放浓度（3）</w:t>
            </w: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本期工程产生量（4）</w:t>
            </w: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本期工程自身削减量（5）</w:t>
            </w:r>
          </w:p>
        </w:tc>
        <w:tc>
          <w:tcPr>
            <w:tcW w:w="89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本期工程实际排放量（6）</w:t>
            </w: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本期工程核定排放总量（7）</w:t>
            </w: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本期工程“以新代老”削减量（8）</w:t>
            </w: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全厂实际排放总量（9）</w:t>
            </w: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全厂核定排放总量（10）</w:t>
            </w: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区域平衡替代削减量（11）</w:t>
            </w: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FF0000"/>
                <w:kern w:val="0"/>
                <w:sz w:val="15"/>
                <w:szCs w:val="15"/>
                <w:shd w:val="clear" w:color="auto" w:fill="auto"/>
              </w:rPr>
            </w:pPr>
            <w:r>
              <w:rPr>
                <w:rFonts w:hint="default" w:ascii="Times New Roman" w:hAnsi="Times New Roman"/>
                <w:color w:val="auto"/>
                <w:kern w:val="0"/>
                <w:sz w:val="15"/>
                <w:szCs w:val="15"/>
                <w:shd w:val="clear" w:color="auto" w:fill="auto"/>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废     水</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2.64</w:t>
            </w: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2.64</w:t>
            </w: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0</w:t>
            </w: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化学需氧量</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氨     氮</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石 油 类</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废     气</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二氧化硫</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烟   尘</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工业粉尘</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氮氧化物</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2017"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工业固体废物</w:t>
            </w: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1.15</w:t>
            </w: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1.15</w:t>
            </w: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0</w:t>
            </w: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olor w:val="auto"/>
                <w:kern w:val="0"/>
                <w:sz w:val="15"/>
                <w:szCs w:val="15"/>
                <w:shd w:val="clear" w:color="auto" w:fill="auto"/>
                <w:lang w:val="en-US" w:eastAsia="zh-CN"/>
              </w:rPr>
            </w:pPr>
            <w:r>
              <w:rPr>
                <w:rFonts w:hint="eastAsia"/>
                <w:color w:val="auto"/>
                <w:kern w:val="0"/>
                <w:sz w:val="15"/>
                <w:szCs w:val="15"/>
                <w:shd w:val="clear" w:color="auto" w:fill="auto"/>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97" w:type="dxa"/>
            <w:vMerge w:val="restar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r>
              <w:rPr>
                <w:rFonts w:hint="default" w:ascii="Times New Roman" w:hAnsi="Times New Roman"/>
                <w:color w:val="auto"/>
                <w:kern w:val="0"/>
                <w:sz w:val="15"/>
                <w:szCs w:val="15"/>
                <w:shd w:val="clear" w:color="auto" w:fill="auto"/>
              </w:rPr>
              <w:t>与项目有关的其他特定污染物</w:t>
            </w:r>
          </w:p>
        </w:tc>
        <w:tc>
          <w:tcPr>
            <w:tcW w:w="720"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jc w:val="center"/>
        </w:trPr>
        <w:tc>
          <w:tcPr>
            <w:tcW w:w="555" w:type="dxa"/>
            <w:vMerge w:val="continue"/>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97"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0"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39" w:type="dxa"/>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4"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84"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43" w:type="dxa"/>
            <w:gridSpan w:val="4"/>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1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895"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21"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1259"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53" w:type="dxa"/>
            <w:gridSpan w:val="2"/>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7"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968" w:type="dxa"/>
            <w:gridSpan w:val="3"/>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c>
          <w:tcPr>
            <w:tcW w:w="729" w:type="dxa"/>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olor w:val="auto"/>
                <w:kern w:val="0"/>
                <w:sz w:val="15"/>
                <w:szCs w:val="15"/>
                <w:shd w:val="clear" w:color="auto" w:fill="auto"/>
              </w:rPr>
            </w:pPr>
          </w:p>
        </w:tc>
      </w:tr>
    </w:tbl>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both"/>
        <w:textAlignment w:val="auto"/>
        <w:outlineLvl w:val="9"/>
        <w:rPr>
          <w:rFonts w:ascii="Times New Roman" w:hAnsi="Times New Roman"/>
          <w:color w:val="auto"/>
          <w:sz w:val="15"/>
          <w:szCs w:val="15"/>
          <w:shd w:val="clear" w:color="auto" w:fill="auto"/>
        </w:rPr>
      </w:pPr>
      <w:r>
        <w:rPr>
          <w:rFonts w:ascii="Times New Roman" w:hAnsi="Times New Roman"/>
          <w:color w:val="auto"/>
          <w:sz w:val="15"/>
          <w:szCs w:val="15"/>
          <w:shd w:val="clear" w:color="auto" w:fill="auto"/>
        </w:rPr>
        <w:t>注：</w:t>
      </w:r>
      <w:r>
        <w:rPr>
          <w:rFonts w:hint="eastAsia" w:ascii="Times New Roman" w:hAnsi="Times New Roman"/>
          <w:color w:val="auto"/>
          <w:sz w:val="15"/>
          <w:szCs w:val="15"/>
          <w:shd w:val="clear" w:color="auto" w:fill="auto"/>
          <w:lang w:val="en-US" w:eastAsia="zh-CN"/>
        </w:rPr>
        <w:t xml:space="preserve"> </w:t>
      </w:r>
      <w:r>
        <w:rPr>
          <w:rFonts w:ascii="Times New Roman" w:hAnsi="Times New Roman"/>
          <w:color w:val="auto"/>
          <w:sz w:val="15"/>
          <w:szCs w:val="15"/>
          <w:shd w:val="clear" w:color="auto" w:fill="auto"/>
        </w:rPr>
        <w:t>1、排放增减量：（＋）表示增加，（-）表示减少</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360"/>
        <w:jc w:val="both"/>
        <w:textAlignment w:val="auto"/>
        <w:outlineLvl w:val="9"/>
        <w:rPr>
          <w:rFonts w:ascii="Times New Roman" w:hAnsi="Times New Roman"/>
          <w:color w:val="auto"/>
          <w:sz w:val="15"/>
          <w:szCs w:val="15"/>
          <w:shd w:val="clear" w:color="auto" w:fill="auto"/>
        </w:rPr>
      </w:pPr>
      <w:r>
        <w:rPr>
          <w:rFonts w:ascii="Times New Roman" w:hAnsi="Times New Roman"/>
          <w:color w:val="auto"/>
          <w:sz w:val="15"/>
          <w:szCs w:val="15"/>
          <w:shd w:val="clear" w:color="auto" w:fill="auto"/>
        </w:rPr>
        <w:t>2、（12）=（6）-（8）-（11），（9）=（4）-（5）-（8）-（11）+（1）</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360"/>
        <w:jc w:val="both"/>
        <w:textAlignment w:val="auto"/>
        <w:outlineLvl w:val="9"/>
        <w:rPr>
          <w:rFonts w:ascii="Times New Roman" w:hAnsi="Times New Roman"/>
          <w:color w:val="auto"/>
          <w:sz w:val="15"/>
          <w:szCs w:val="15"/>
          <w:shd w:val="clear" w:color="auto" w:fill="auto"/>
        </w:rPr>
      </w:pPr>
      <w:r>
        <w:rPr>
          <w:rFonts w:ascii="Times New Roman" w:hAnsi="Times New Roman"/>
          <w:color w:val="auto"/>
          <w:sz w:val="15"/>
          <w:szCs w:val="15"/>
          <w:shd w:val="clear" w:color="auto" w:fill="auto"/>
        </w:rPr>
        <w:t>3、计量单位：废水排放量—万吨/年；废气排放量—万标立方米/年；工业固体废物排放量—万吨/年；水污染排放浓度—毫克/升；</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480" w:firstLineChars="0"/>
        <w:jc w:val="both"/>
        <w:textAlignment w:val="auto"/>
        <w:outlineLvl w:val="9"/>
        <w:rPr>
          <w:rFonts w:ascii="Times New Roman" w:hAnsi="Times New Roman"/>
          <w:color w:val="auto"/>
          <w:sz w:val="15"/>
          <w:szCs w:val="15"/>
          <w:shd w:val="clear" w:color="auto" w:fill="auto"/>
        </w:rPr>
      </w:pPr>
      <w:r>
        <w:rPr>
          <w:rFonts w:ascii="Times New Roman" w:hAnsi="Times New Roman"/>
          <w:color w:val="auto"/>
          <w:sz w:val="15"/>
          <w:szCs w:val="15"/>
          <w:shd w:val="clear" w:color="auto" w:fill="auto"/>
        </w:rPr>
        <w:t>大气污染物排放浓度—毫克/立方米；水污染物排放量—吨/年；大气污染物排放量—吨/年</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360"/>
        <w:jc w:val="both"/>
        <w:textAlignment w:val="auto"/>
        <w:outlineLvl w:val="9"/>
        <w:rPr>
          <w:rFonts w:ascii="Times New Roman" w:hAnsi="Times New Roman"/>
          <w:color w:val="FF0000"/>
          <w:sz w:val="15"/>
          <w:szCs w:val="15"/>
          <w:shd w:val="clear" w:color="auto" w:fill="auto"/>
        </w:rPr>
        <w:sectPr>
          <w:headerReference r:id="rId10" w:type="default"/>
          <w:footerReference r:id="rId11" w:type="default"/>
          <w:pgSz w:w="16838" w:h="11906" w:orient="landscape"/>
          <w:pgMar w:top="1803" w:right="1440" w:bottom="1803" w:left="1440"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pStyle w:val="18"/>
        <w:spacing w:line="360" w:lineRule="auto"/>
        <w:ind w:firstLine="480" w:firstLineChars="200"/>
        <w:jc w:val="both"/>
        <w:rPr>
          <w:rFonts w:hint="default" w:cs="Times New Roman"/>
          <w:color w:val="auto"/>
          <w:shd w:val="clear" w:color="auto" w:fill="auto"/>
          <w:lang w:val="en-US" w:eastAsia="zh-CN"/>
        </w:rPr>
      </w:pPr>
    </w:p>
    <w:p>
      <w:pPr>
        <w:pStyle w:val="18"/>
        <w:spacing w:line="360" w:lineRule="auto"/>
        <w:ind w:firstLine="480" w:firstLineChars="200"/>
        <w:jc w:val="both"/>
        <w:rPr>
          <w:rFonts w:hint="default" w:cs="Times New Roman"/>
          <w:color w:val="auto"/>
          <w:shd w:val="clear" w:color="auto" w:fil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rPr>
          <w:b/>
          <w:bCs/>
          <w:color w:val="auto"/>
          <w:sz w:val="28"/>
          <w:szCs w:val="28"/>
          <w:shd w:val="clear" w:color="auto" w:fill="auto"/>
        </w:rPr>
      </w:pPr>
      <w:r>
        <w:rPr>
          <w:rFonts w:hint="eastAsia"/>
          <w:b/>
          <w:bCs/>
          <w:color w:val="auto"/>
          <w:sz w:val="28"/>
          <w:szCs w:val="28"/>
          <w:shd w:val="clear" w:color="auto" w:fill="auto"/>
        </w:rPr>
        <w:t>现场</w:t>
      </w:r>
      <w:r>
        <w:rPr>
          <w:rFonts w:hint="eastAsia"/>
          <w:b/>
          <w:bCs/>
          <w:color w:val="auto"/>
          <w:sz w:val="28"/>
          <w:szCs w:val="28"/>
          <w:shd w:val="clear" w:color="auto" w:fill="auto"/>
          <w:lang w:eastAsia="zh-CN"/>
        </w:rPr>
        <w:t>监测</w:t>
      </w:r>
      <w:r>
        <w:rPr>
          <w:rFonts w:hint="eastAsia"/>
          <w:b/>
          <w:bCs/>
          <w:color w:val="auto"/>
          <w:sz w:val="28"/>
          <w:szCs w:val="28"/>
          <w:shd w:val="clear" w:color="auto" w:fill="auto"/>
        </w:rPr>
        <w:t>照片</w:t>
      </w:r>
    </w:p>
    <w:p>
      <w:pPr>
        <w:rPr>
          <w:rFonts w:hint="eastAsia" w:ascii="宋体" w:hAnsi="宋体" w:eastAsia="宋体" w:cs="宋体"/>
          <w:color w:val="FF0000"/>
          <w:sz w:val="24"/>
          <w:szCs w:val="24"/>
          <w:lang w:eastAsia="zh-CN"/>
        </w:rPr>
      </w:pPr>
      <w:r>
        <w:rPr>
          <w:rFonts w:hint="eastAsia" w:ascii="宋体" w:hAnsi="宋体" w:eastAsia="宋体" w:cs="宋体"/>
          <w:color w:val="FF0000"/>
          <w:sz w:val="24"/>
          <w:szCs w:val="24"/>
          <w:lang w:eastAsia="zh-CN"/>
        </w:rPr>
        <w:drawing>
          <wp:inline distT="0" distB="0" distL="114300" distR="114300">
            <wp:extent cx="2564765" cy="2530475"/>
            <wp:effectExtent l="0" t="0" r="6985" b="3175"/>
            <wp:docPr id="91" name="图片 91" descr="WQ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WQ1"/>
                    <pic:cNvPicPr>
                      <a:picLocks noChangeAspect="1"/>
                    </pic:cNvPicPr>
                  </pic:nvPicPr>
                  <pic:blipFill>
                    <a:blip r:embed="rId37"/>
                    <a:srcRect l="10737" t="22957" r="32624"/>
                    <a:stretch>
                      <a:fillRect/>
                    </a:stretch>
                  </pic:blipFill>
                  <pic:spPr>
                    <a:xfrm>
                      <a:off x="0" y="0"/>
                      <a:ext cx="2564765" cy="2530475"/>
                    </a:xfrm>
                    <a:prstGeom prst="rect">
                      <a:avLst/>
                    </a:prstGeom>
                  </pic:spPr>
                </pic:pic>
              </a:graphicData>
            </a:graphic>
          </wp:inline>
        </w:drawing>
      </w:r>
      <w:r>
        <w:rPr>
          <w:rFonts w:hint="eastAsia" w:ascii="宋体" w:hAnsi="宋体" w:cs="宋体"/>
          <w:color w:val="FF0000"/>
          <w:sz w:val="24"/>
          <w:szCs w:val="24"/>
          <w:lang w:val="en-US" w:eastAsia="zh-CN"/>
        </w:rPr>
        <w:t xml:space="preserve"> </w:t>
      </w:r>
      <w:r>
        <w:rPr>
          <w:rFonts w:hint="eastAsia" w:ascii="宋体" w:hAnsi="宋体" w:eastAsia="宋体" w:cs="宋体"/>
          <w:color w:val="FF0000"/>
          <w:sz w:val="24"/>
          <w:szCs w:val="24"/>
          <w:lang w:eastAsia="zh-CN"/>
        </w:rPr>
        <w:drawing>
          <wp:inline distT="0" distB="0" distL="114300" distR="114300">
            <wp:extent cx="2564130" cy="2518410"/>
            <wp:effectExtent l="0" t="0" r="7620" b="15240"/>
            <wp:docPr id="92" name="图片 92" descr="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D3"/>
                    <pic:cNvPicPr>
                      <a:picLocks noChangeAspect="1"/>
                    </pic:cNvPicPr>
                  </pic:nvPicPr>
                  <pic:blipFill>
                    <a:blip r:embed="rId38"/>
                    <a:srcRect l="7757" r="12196"/>
                    <a:stretch>
                      <a:fillRect/>
                    </a:stretch>
                  </pic:blipFill>
                  <pic:spPr>
                    <a:xfrm>
                      <a:off x="0" y="0"/>
                      <a:ext cx="2564130" cy="2518410"/>
                    </a:xfrm>
                    <a:prstGeom prst="rect">
                      <a:avLst/>
                    </a:prstGeom>
                  </pic:spPr>
                </pic:pic>
              </a:graphicData>
            </a:graphic>
          </wp:inline>
        </w:drawing>
      </w:r>
    </w:p>
    <w:p>
      <w:pPr>
        <w:pStyle w:val="2"/>
        <w:rPr>
          <w:rFonts w:hint="eastAsia"/>
          <w:lang w:eastAsia="zh-CN"/>
        </w:rPr>
      </w:pPr>
    </w:p>
    <w:p>
      <w:pPr>
        <w:rPr>
          <w:rFonts w:hint="eastAsia" w:ascii="宋体" w:hAnsi="宋体" w:eastAsia="宋体" w:cs="宋体"/>
          <w:color w:val="FF0000"/>
          <w:sz w:val="24"/>
          <w:szCs w:val="24"/>
          <w:lang w:eastAsia="zh-CN"/>
        </w:rPr>
      </w:pPr>
      <w:r>
        <w:rPr>
          <w:rFonts w:hint="eastAsia" w:ascii="宋体" w:hAnsi="宋体" w:eastAsia="宋体" w:cs="宋体"/>
          <w:color w:val="FF0000"/>
          <w:sz w:val="24"/>
          <w:szCs w:val="24"/>
          <w:lang w:eastAsia="zh-CN"/>
        </w:rPr>
        <w:drawing>
          <wp:inline distT="0" distB="0" distL="114300" distR="114300">
            <wp:extent cx="2548890" cy="2466975"/>
            <wp:effectExtent l="0" t="0" r="3810" b="9525"/>
            <wp:docPr id="93" name="图片 93" descr="F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FS1"/>
                    <pic:cNvPicPr>
                      <a:picLocks noChangeAspect="1"/>
                    </pic:cNvPicPr>
                  </pic:nvPicPr>
                  <pic:blipFill>
                    <a:blip r:embed="rId39"/>
                    <a:srcRect l="5071" t="259" r="17434" b="-259"/>
                    <a:stretch>
                      <a:fillRect/>
                    </a:stretch>
                  </pic:blipFill>
                  <pic:spPr>
                    <a:xfrm>
                      <a:off x="0" y="0"/>
                      <a:ext cx="2548890" cy="2466975"/>
                    </a:xfrm>
                    <a:prstGeom prst="rect">
                      <a:avLst/>
                    </a:prstGeom>
                  </pic:spPr>
                </pic:pic>
              </a:graphicData>
            </a:graphic>
          </wp:inline>
        </w:drawing>
      </w:r>
      <w:r>
        <w:rPr>
          <w:rFonts w:hint="eastAsia" w:ascii="宋体" w:hAnsi="宋体" w:cs="宋体"/>
          <w:color w:val="FF0000"/>
          <w:sz w:val="24"/>
          <w:szCs w:val="24"/>
          <w:lang w:val="en-US" w:eastAsia="zh-CN"/>
        </w:rPr>
        <w:t xml:space="preserve"> </w:t>
      </w:r>
      <w:r>
        <w:rPr>
          <w:rFonts w:hint="eastAsia" w:ascii="宋体" w:hAnsi="宋体" w:eastAsia="宋体" w:cs="宋体"/>
          <w:color w:val="FF0000"/>
          <w:sz w:val="24"/>
          <w:szCs w:val="24"/>
          <w:lang w:eastAsia="zh-CN"/>
        </w:rPr>
        <w:drawing>
          <wp:inline distT="0" distB="0" distL="114300" distR="114300">
            <wp:extent cx="2574925" cy="2463165"/>
            <wp:effectExtent l="0" t="0" r="15875" b="13335"/>
            <wp:docPr id="95" name="图片 95" descr="WQ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WQ4"/>
                    <pic:cNvPicPr>
                      <a:picLocks noChangeAspect="1"/>
                    </pic:cNvPicPr>
                  </pic:nvPicPr>
                  <pic:blipFill>
                    <a:blip r:embed="rId40"/>
                    <a:srcRect t="19014" r="6574" b="13426"/>
                    <a:stretch>
                      <a:fillRect/>
                    </a:stretch>
                  </pic:blipFill>
                  <pic:spPr>
                    <a:xfrm>
                      <a:off x="0" y="0"/>
                      <a:ext cx="2574925" cy="2463165"/>
                    </a:xfrm>
                    <a:prstGeom prst="rect">
                      <a:avLst/>
                    </a:prstGeom>
                  </pic:spPr>
                </pic:pic>
              </a:graphicData>
            </a:graphic>
          </wp:inline>
        </w:drawing>
      </w:r>
    </w:p>
    <w:p>
      <w:pPr>
        <w:pStyle w:val="2"/>
        <w:rPr>
          <w:rFonts w:hint="eastAsia"/>
          <w:lang w:eastAsia="zh-CN"/>
        </w:rPr>
      </w:pPr>
    </w:p>
    <w:p>
      <w:pPr>
        <w:rPr>
          <w:b/>
          <w:bCs/>
          <w:color w:val="auto"/>
          <w:sz w:val="28"/>
          <w:szCs w:val="28"/>
          <w:shd w:val="clear" w:color="auto" w:fill="auto"/>
        </w:rPr>
      </w:pPr>
      <w:r>
        <w:rPr>
          <w:rFonts w:hint="eastAsia" w:ascii="宋体" w:hAnsi="宋体" w:eastAsia="宋体" w:cs="宋体"/>
          <w:color w:val="FF0000"/>
          <w:sz w:val="24"/>
          <w:szCs w:val="24"/>
          <w:lang w:eastAsia="zh-CN"/>
        </w:rPr>
        <w:drawing>
          <wp:inline distT="0" distB="0" distL="114300" distR="114300">
            <wp:extent cx="2557780" cy="2432685"/>
            <wp:effectExtent l="0" t="0" r="13970" b="5715"/>
            <wp:docPr id="96" name="图片 96" descr="IMG_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4594"/>
                    <pic:cNvPicPr>
                      <a:picLocks noChangeAspect="1"/>
                    </pic:cNvPicPr>
                  </pic:nvPicPr>
                  <pic:blipFill>
                    <a:blip r:embed="rId41"/>
                    <a:srcRect l="4864" t="13250" r="27566"/>
                    <a:stretch>
                      <a:fillRect/>
                    </a:stretch>
                  </pic:blipFill>
                  <pic:spPr>
                    <a:xfrm>
                      <a:off x="0" y="0"/>
                      <a:ext cx="2557780" cy="2432685"/>
                    </a:xfrm>
                    <a:prstGeom prst="rect">
                      <a:avLst/>
                    </a:prstGeom>
                  </pic:spPr>
                </pic:pic>
              </a:graphicData>
            </a:graphic>
          </wp:inline>
        </w:drawing>
      </w:r>
      <w:r>
        <w:rPr>
          <w:rFonts w:hint="eastAsia" w:ascii="宋体" w:hAnsi="宋体" w:cs="宋体"/>
          <w:color w:val="FF0000"/>
          <w:sz w:val="24"/>
          <w:szCs w:val="24"/>
          <w:lang w:val="en-US" w:eastAsia="zh-CN"/>
        </w:rPr>
        <w:t xml:space="preserve"> </w:t>
      </w:r>
      <w:r>
        <w:rPr>
          <w:rFonts w:hint="eastAsia" w:ascii="宋体" w:hAnsi="宋体" w:eastAsia="宋体" w:cs="宋体"/>
          <w:color w:val="FF0000"/>
          <w:sz w:val="24"/>
          <w:szCs w:val="24"/>
          <w:lang w:eastAsia="zh-CN"/>
        </w:rPr>
        <w:drawing>
          <wp:inline distT="0" distB="0" distL="114300" distR="114300">
            <wp:extent cx="2560955" cy="2437765"/>
            <wp:effectExtent l="0" t="0" r="10795" b="635"/>
            <wp:docPr id="97" name="图片 97" descr="IMG_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_4588"/>
                    <pic:cNvPicPr>
                      <a:picLocks noChangeAspect="1"/>
                    </pic:cNvPicPr>
                  </pic:nvPicPr>
                  <pic:blipFill>
                    <a:blip r:embed="rId42"/>
                    <a:srcRect l="16317" r="3827"/>
                    <a:stretch>
                      <a:fillRect/>
                    </a:stretch>
                  </pic:blipFill>
                  <pic:spPr>
                    <a:xfrm>
                      <a:off x="0" y="0"/>
                      <a:ext cx="2560955" cy="2437765"/>
                    </a:xfrm>
                    <a:prstGeom prst="rect">
                      <a:avLst/>
                    </a:prstGeom>
                  </pic:spPr>
                </pic:pic>
              </a:graphicData>
            </a:graphic>
          </wp:inline>
        </w:drawing>
      </w:r>
      <w:r>
        <w:rPr>
          <w:rFonts w:hint="eastAsia"/>
          <w:b/>
          <w:bCs/>
          <w:color w:val="auto"/>
          <w:sz w:val="28"/>
          <w:szCs w:val="28"/>
          <w:shd w:val="clear" w:color="auto" w:fill="auto"/>
          <w:lang w:eastAsia="zh-CN"/>
        </w:rPr>
        <w:t>环保设施</w:t>
      </w:r>
      <w:r>
        <w:rPr>
          <w:rFonts w:hint="eastAsia"/>
          <w:b/>
          <w:bCs/>
          <w:color w:val="auto"/>
          <w:sz w:val="28"/>
          <w:szCs w:val="28"/>
          <w:shd w:val="clear" w:color="auto" w:fill="auto"/>
        </w:rPr>
        <w:t>照片</w:t>
      </w:r>
    </w:p>
    <w:p>
      <w:pPr>
        <w:rPr>
          <w:rFonts w:hint="eastAsia" w:ascii="Times New Roman" w:hAnsi="Times New Roman" w:eastAsia="宋体" w:cs="Times New Roman"/>
          <w:b/>
          <w:color w:val="FF0000"/>
          <w:sz w:val="28"/>
          <w:szCs w:val="28"/>
          <w:shd w:val="clear" w:color="auto" w:fill="auto"/>
          <w:lang w:eastAsia="zh-CN"/>
        </w:rPr>
      </w:pPr>
      <w:r>
        <w:rPr>
          <w:color w:val="FF0000"/>
          <w:shd w:val="clear" w:color="auto" w:fill="auto"/>
        </w:rPr>
        <w:drawing>
          <wp:inline distT="0" distB="0" distL="114300" distR="114300">
            <wp:extent cx="2470785" cy="2531110"/>
            <wp:effectExtent l="0" t="0" r="5715" b="2540"/>
            <wp:docPr id="98" name="图片 98" descr="F320C26AA1B64A00E17A66DD589F71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F320C26AA1B64A00E17A66DD589F71E3"/>
                    <pic:cNvPicPr>
                      <a:picLocks noChangeAspect="1"/>
                    </pic:cNvPicPr>
                  </pic:nvPicPr>
                  <pic:blipFill>
                    <a:blip r:embed="rId43"/>
                    <a:srcRect t="11602" b="25357"/>
                    <a:stretch>
                      <a:fillRect/>
                    </a:stretch>
                  </pic:blipFill>
                  <pic:spPr>
                    <a:xfrm>
                      <a:off x="0" y="0"/>
                      <a:ext cx="2470785" cy="2531110"/>
                    </a:xfrm>
                    <a:prstGeom prst="rect">
                      <a:avLst/>
                    </a:prstGeom>
                  </pic:spPr>
                </pic:pic>
              </a:graphicData>
            </a:graphic>
          </wp:inline>
        </w:drawing>
      </w:r>
      <w:r>
        <w:rPr>
          <w:rFonts w:hint="eastAsia"/>
          <w:color w:val="FF0000"/>
          <w:shd w:val="clear" w:color="auto" w:fill="auto"/>
          <w:lang w:val="en-US" w:eastAsia="zh-CN"/>
        </w:rPr>
        <w:t xml:space="preserve"> </w:t>
      </w:r>
      <w:r>
        <w:rPr>
          <w:rFonts w:hint="eastAsia" w:ascii="Times New Roman" w:hAnsi="Times New Roman" w:eastAsia="宋体" w:cs="Times New Roman"/>
          <w:b/>
          <w:color w:val="FF0000"/>
          <w:sz w:val="28"/>
          <w:szCs w:val="28"/>
          <w:shd w:val="clear" w:color="auto" w:fill="auto"/>
          <w:lang w:eastAsia="zh-CN"/>
        </w:rPr>
        <w:drawing>
          <wp:inline distT="0" distB="0" distL="114300" distR="114300">
            <wp:extent cx="2484755" cy="2527935"/>
            <wp:effectExtent l="0" t="0" r="10795" b="5715"/>
            <wp:docPr id="99" name="图片 99" descr="904EEFB4A1D94DB9A61478CEDCE153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904EEFB4A1D94DB9A61478CEDCE153C5"/>
                    <pic:cNvPicPr>
                      <a:picLocks noChangeAspect="1"/>
                    </pic:cNvPicPr>
                  </pic:nvPicPr>
                  <pic:blipFill>
                    <a:blip r:embed="rId44"/>
                    <a:srcRect t="44242"/>
                    <a:stretch>
                      <a:fillRect/>
                    </a:stretch>
                  </pic:blipFill>
                  <pic:spPr>
                    <a:xfrm>
                      <a:off x="0" y="0"/>
                      <a:ext cx="2484755" cy="2527935"/>
                    </a:xfrm>
                    <a:prstGeom prst="rect">
                      <a:avLst/>
                    </a:prstGeom>
                  </pic:spPr>
                </pic:pic>
              </a:graphicData>
            </a:graphic>
          </wp:inline>
        </w:drawing>
      </w:r>
    </w:p>
    <w:p>
      <w:pPr>
        <w:pStyle w:val="2"/>
        <w:spacing w:line="240" w:lineRule="auto"/>
        <w:rPr>
          <w:rFonts w:hint="eastAsia"/>
          <w:sz w:val="18"/>
          <w:szCs w:val="18"/>
          <w:lang w:eastAsia="zh-CN"/>
        </w:rPr>
      </w:pPr>
    </w:p>
    <w:p>
      <w:pPr>
        <w:pStyle w:val="18"/>
        <w:spacing w:line="240" w:lineRule="auto"/>
        <w:jc w:val="both"/>
        <w:rPr>
          <w:rFonts w:hint="eastAsia" w:ascii="Times New Roman" w:hAnsi="Times New Roman" w:eastAsia="宋体" w:cs="Times New Roman"/>
          <w:b/>
          <w:color w:val="FF0000"/>
          <w:sz w:val="28"/>
          <w:szCs w:val="28"/>
          <w:shd w:val="clear" w:color="auto" w:fill="auto"/>
          <w:lang w:eastAsia="zh-CN"/>
        </w:rPr>
      </w:pPr>
      <w:r>
        <w:rPr>
          <w:rFonts w:hint="eastAsia" w:ascii="Times New Roman" w:hAnsi="Times New Roman" w:eastAsia="宋体" w:cs="Times New Roman"/>
          <w:b/>
          <w:color w:val="FF0000"/>
          <w:sz w:val="28"/>
          <w:szCs w:val="28"/>
          <w:shd w:val="clear" w:color="auto" w:fill="auto"/>
          <w:lang w:eastAsia="zh-CN"/>
        </w:rPr>
        <w:drawing>
          <wp:inline distT="0" distB="0" distL="114300" distR="114300">
            <wp:extent cx="2463800" cy="2343150"/>
            <wp:effectExtent l="0" t="0" r="12700" b="0"/>
            <wp:docPr id="100" name="图片 100" descr="C97F2EAD8CF92D258DFB82E5A6776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C97F2EAD8CF92D258DFB82E5A6776F68"/>
                    <pic:cNvPicPr>
                      <a:picLocks noChangeAspect="1"/>
                    </pic:cNvPicPr>
                  </pic:nvPicPr>
                  <pic:blipFill>
                    <a:blip r:embed="rId45"/>
                    <a:srcRect l="31669" r="7838"/>
                    <a:stretch>
                      <a:fillRect/>
                    </a:stretch>
                  </pic:blipFill>
                  <pic:spPr>
                    <a:xfrm>
                      <a:off x="0" y="0"/>
                      <a:ext cx="2463800" cy="2343150"/>
                    </a:xfrm>
                    <a:prstGeom prst="rect">
                      <a:avLst/>
                    </a:prstGeom>
                  </pic:spPr>
                </pic:pic>
              </a:graphicData>
            </a:graphic>
          </wp:inline>
        </w:drawing>
      </w:r>
      <w:r>
        <w:rPr>
          <w:rFonts w:hint="eastAsia" w:cs="Times New Roman"/>
          <w:b/>
          <w:color w:val="FF0000"/>
          <w:sz w:val="28"/>
          <w:szCs w:val="28"/>
          <w:shd w:val="clear" w:color="auto" w:fill="auto"/>
          <w:lang w:val="en-US" w:eastAsia="zh-CN"/>
        </w:rPr>
        <w:t xml:space="preserve"> </w:t>
      </w:r>
      <w:r>
        <w:rPr>
          <w:rFonts w:hint="eastAsia" w:ascii="Times New Roman" w:hAnsi="Times New Roman" w:eastAsia="宋体" w:cs="Times New Roman"/>
          <w:b/>
          <w:color w:val="FF0000"/>
          <w:sz w:val="28"/>
          <w:szCs w:val="28"/>
          <w:shd w:val="clear" w:color="auto" w:fill="auto"/>
          <w:lang w:eastAsia="zh-CN"/>
        </w:rPr>
        <w:drawing>
          <wp:inline distT="0" distB="0" distL="114300" distR="114300">
            <wp:extent cx="2484755" cy="2326640"/>
            <wp:effectExtent l="0" t="0" r="10795" b="16510"/>
            <wp:docPr id="101" name="图片 101" descr="A75C593B73854B7F97D3D3F84D0C8A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A75C593B73854B7F97D3D3F84D0C8A51"/>
                    <pic:cNvPicPr>
                      <a:picLocks noChangeAspect="1"/>
                    </pic:cNvPicPr>
                  </pic:nvPicPr>
                  <pic:blipFill>
                    <a:blip r:embed="rId46"/>
                    <a:srcRect t="16618" b="33128"/>
                    <a:stretch>
                      <a:fillRect/>
                    </a:stretch>
                  </pic:blipFill>
                  <pic:spPr>
                    <a:xfrm>
                      <a:off x="0" y="0"/>
                      <a:ext cx="2484755" cy="2326640"/>
                    </a:xfrm>
                    <a:prstGeom prst="rect">
                      <a:avLst/>
                    </a:prstGeom>
                  </pic:spPr>
                </pic:pic>
              </a:graphicData>
            </a:graphic>
          </wp:inline>
        </w:drawing>
      </w:r>
    </w:p>
    <w:p>
      <w:pPr>
        <w:pStyle w:val="18"/>
        <w:spacing w:line="360" w:lineRule="auto"/>
        <w:jc w:val="both"/>
        <w:rPr>
          <w:rFonts w:hint="eastAsia" w:ascii="Times New Roman" w:hAnsi="Times New Roman" w:eastAsia="宋体" w:cs="Times New Roman"/>
          <w:b/>
          <w:color w:val="FF0000"/>
          <w:sz w:val="28"/>
          <w:szCs w:val="28"/>
          <w:shd w:val="clear" w:color="auto" w:fill="auto"/>
          <w:lang w:eastAsia="zh-CN"/>
        </w:rPr>
      </w:pPr>
    </w:p>
    <w:p>
      <w:pPr>
        <w:pStyle w:val="18"/>
        <w:spacing w:line="360" w:lineRule="auto"/>
        <w:jc w:val="both"/>
        <w:rPr>
          <w:rFonts w:hint="eastAsia" w:ascii="Times New Roman" w:hAnsi="Times New Roman" w:eastAsia="宋体" w:cs="Times New Roman"/>
          <w:b/>
          <w:color w:val="FF0000"/>
          <w:sz w:val="28"/>
          <w:szCs w:val="28"/>
          <w:shd w:val="clear" w:color="auto" w:fill="auto"/>
          <w:lang w:eastAsia="zh-CN"/>
        </w:rPr>
      </w:pPr>
      <w:r>
        <w:rPr>
          <w:rFonts w:hint="eastAsia" w:ascii="Times New Roman" w:hAnsi="Times New Roman" w:eastAsia="宋体" w:cs="Times New Roman"/>
          <w:b/>
          <w:color w:val="FF0000"/>
          <w:sz w:val="28"/>
          <w:szCs w:val="28"/>
          <w:shd w:val="clear" w:color="auto" w:fill="auto"/>
          <w:lang w:eastAsia="zh-CN"/>
        </w:rPr>
        <w:drawing>
          <wp:inline distT="0" distB="0" distL="114300" distR="114300">
            <wp:extent cx="2475230" cy="2479040"/>
            <wp:effectExtent l="0" t="0" r="1270" b="16510"/>
            <wp:docPr id="150" name="图片 1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3"/>
                    <pic:cNvPicPr>
                      <a:picLocks noChangeAspect="1"/>
                    </pic:cNvPicPr>
                  </pic:nvPicPr>
                  <pic:blipFill>
                    <a:blip r:embed="rId47"/>
                    <a:srcRect l="18088" r="25865"/>
                    <a:stretch>
                      <a:fillRect/>
                    </a:stretch>
                  </pic:blipFill>
                  <pic:spPr>
                    <a:xfrm>
                      <a:off x="0" y="0"/>
                      <a:ext cx="2475230" cy="2479040"/>
                    </a:xfrm>
                    <a:prstGeom prst="rect">
                      <a:avLst/>
                    </a:prstGeom>
                  </pic:spPr>
                </pic:pic>
              </a:graphicData>
            </a:graphic>
          </wp:inline>
        </w:drawing>
      </w:r>
      <w:r>
        <w:rPr>
          <w:rFonts w:hint="eastAsia" w:ascii="Times New Roman" w:hAnsi="Times New Roman" w:cs="Times New Roman"/>
          <w:b/>
          <w:color w:val="FF0000"/>
          <w:sz w:val="28"/>
          <w:szCs w:val="28"/>
          <w:shd w:val="clear" w:color="auto" w:fill="auto"/>
          <w:lang w:val="en-US" w:eastAsia="zh-CN"/>
        </w:rPr>
        <w:t xml:space="preserve"> </w:t>
      </w:r>
      <w:r>
        <w:rPr>
          <w:rFonts w:hint="eastAsia" w:ascii="Times New Roman" w:hAnsi="Times New Roman" w:eastAsia="宋体" w:cs="Times New Roman"/>
          <w:b/>
          <w:color w:val="FF0000"/>
          <w:sz w:val="28"/>
          <w:szCs w:val="28"/>
          <w:shd w:val="clear" w:color="auto" w:fill="auto"/>
          <w:lang w:eastAsia="zh-CN"/>
        </w:rPr>
        <w:drawing>
          <wp:inline distT="0" distB="0" distL="114300" distR="114300">
            <wp:extent cx="2487930" cy="2486025"/>
            <wp:effectExtent l="0" t="0" r="7620" b="9525"/>
            <wp:docPr id="149" name="图片 149" descr="QQQ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QQQQQ"/>
                    <pic:cNvPicPr>
                      <a:picLocks noChangeAspect="1"/>
                    </pic:cNvPicPr>
                  </pic:nvPicPr>
                  <pic:blipFill>
                    <a:blip r:embed="rId48"/>
                    <a:srcRect t="11719" b="32176"/>
                    <a:stretch>
                      <a:fillRect/>
                    </a:stretch>
                  </pic:blipFill>
                  <pic:spPr>
                    <a:xfrm>
                      <a:off x="0" y="0"/>
                      <a:ext cx="2487930" cy="2486025"/>
                    </a:xfrm>
                    <a:prstGeom prst="rect">
                      <a:avLst/>
                    </a:prstGeom>
                  </pic:spPr>
                </pic:pic>
              </a:graphicData>
            </a:graphic>
          </wp:inline>
        </w:drawing>
      </w:r>
    </w:p>
    <w:p>
      <w:pPr>
        <w:pStyle w:val="18"/>
        <w:spacing w:line="360" w:lineRule="auto"/>
        <w:jc w:val="both"/>
        <w:rPr>
          <w:rFonts w:hint="eastAsia" w:ascii="Times New Roman" w:hAnsi="Times New Roman" w:eastAsia="宋体" w:cs="Times New Roman"/>
          <w:b/>
          <w:color w:val="FF0000"/>
          <w:sz w:val="28"/>
          <w:szCs w:val="28"/>
          <w:shd w:val="clear" w:color="auto" w:fill="auto"/>
          <w:lang w:eastAsia="zh-CN"/>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rPr>
          <w:rFonts w:hint="eastAsia" w:ascii="Times New Roman" w:hAnsi="Times New Roman" w:cs="Times New Roman"/>
          <w:b/>
          <w:color w:val="FF0000"/>
          <w:sz w:val="28"/>
          <w:szCs w:val="28"/>
          <w:shd w:val="clear" w:color="auto" w:fill="auto"/>
          <w:lang w:val="en-US" w:eastAsia="zh-CN"/>
        </w:rPr>
      </w:pPr>
      <w:r>
        <w:rPr>
          <w:rFonts w:ascii="Times New Roman" w:hAnsi="Times New Roman" w:cs="Times New Roman"/>
          <w:b/>
          <w:color w:val="auto"/>
          <w:sz w:val="28"/>
          <w:szCs w:val="28"/>
          <w:shd w:val="clear" w:color="auto" w:fill="auto"/>
        </w:rPr>
        <w:t>附件</w:t>
      </w:r>
      <w:r>
        <w:rPr>
          <w:rFonts w:hint="eastAsia" w:cs="Times New Roman"/>
          <w:b/>
          <w:color w:val="auto"/>
          <w:sz w:val="28"/>
          <w:szCs w:val="28"/>
          <w:shd w:val="clear" w:color="auto" w:fill="auto"/>
          <w:lang w:eastAsia="zh-CN"/>
        </w:rPr>
        <w:t>一</w:t>
      </w:r>
      <w:r>
        <w:rPr>
          <w:rFonts w:ascii="Times New Roman" w:hAnsi="Times New Roman" w:cs="Times New Roman"/>
          <w:b/>
          <w:color w:val="auto"/>
          <w:sz w:val="28"/>
          <w:szCs w:val="28"/>
          <w:shd w:val="clear" w:color="auto" w:fill="auto"/>
        </w:rPr>
        <w:t xml:space="preserve"> 委托书</w:t>
      </w:r>
    </w:p>
    <w:p>
      <w:pPr>
        <w:jc w:val="both"/>
        <w:rPr>
          <w:rFonts w:hint="eastAsia" w:ascii="Times New Roman" w:hAnsi="Times New Roman" w:cs="Times New Roman"/>
          <w:b/>
          <w:color w:val="FF0000"/>
          <w:sz w:val="28"/>
          <w:szCs w:val="28"/>
          <w:shd w:val="clear" w:color="auto" w:fill="auto"/>
          <w:lang w:val="en-US" w:eastAsia="zh-CN"/>
        </w:rPr>
      </w:pPr>
      <w:r>
        <w:rPr>
          <w:rFonts w:hint="eastAsia" w:ascii="Times New Roman" w:hAnsi="Times New Roman" w:cs="Times New Roman"/>
          <w:b/>
          <w:color w:val="FF0000"/>
          <w:sz w:val="28"/>
          <w:szCs w:val="28"/>
          <w:shd w:val="clear" w:color="auto" w:fill="auto"/>
          <w:lang w:val="en-US" w:eastAsia="zh-CN"/>
        </w:rPr>
        <w:drawing>
          <wp:anchor distT="0" distB="0" distL="114300" distR="114300" simplePos="0" relativeHeight="3085884416" behindDoc="0" locked="0" layoutInCell="1" allowOverlap="1">
            <wp:simplePos x="0" y="0"/>
            <wp:positionH relativeFrom="column">
              <wp:posOffset>-233680</wp:posOffset>
            </wp:positionH>
            <wp:positionV relativeFrom="paragraph">
              <wp:posOffset>47625</wp:posOffset>
            </wp:positionV>
            <wp:extent cx="5812155" cy="7795260"/>
            <wp:effectExtent l="0" t="0" r="17145" b="15240"/>
            <wp:wrapSquare wrapText="bothSides"/>
            <wp:docPr id="104" name="图片 104"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委托书"/>
                    <pic:cNvPicPr>
                      <a:picLocks noChangeAspect="1"/>
                    </pic:cNvPicPr>
                  </pic:nvPicPr>
                  <pic:blipFill>
                    <a:blip r:embed="rId49"/>
                    <a:srcRect l="1201" t="1549" r="4013"/>
                    <a:stretch>
                      <a:fillRect/>
                    </a:stretch>
                  </pic:blipFill>
                  <pic:spPr>
                    <a:xfrm>
                      <a:off x="0" y="0"/>
                      <a:ext cx="5812155" cy="7795260"/>
                    </a:xfrm>
                    <a:prstGeom prst="rect">
                      <a:avLst/>
                    </a:prstGeom>
                  </pic:spPr>
                </pic:pic>
              </a:graphicData>
            </a:graphic>
          </wp:anchor>
        </w:drawing>
      </w:r>
    </w:p>
    <w:p>
      <w:pPr>
        <w:rPr>
          <w:rFonts w:ascii="Times New Roman" w:hAnsi="Times New Roman" w:cs="Times New Roman"/>
          <w:b/>
          <w:color w:val="auto"/>
          <w:sz w:val="28"/>
          <w:szCs w:val="28"/>
          <w:shd w:val="clear" w:color="auto" w:fill="auto"/>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rPr>
          <w:rFonts w:ascii="Times New Roman" w:hAnsi="Times New Roman" w:cs="Times New Roman"/>
          <w:b/>
          <w:color w:val="auto"/>
          <w:sz w:val="28"/>
          <w:szCs w:val="28"/>
          <w:shd w:val="clear" w:color="auto" w:fill="auto"/>
        </w:rPr>
      </w:pPr>
      <w:r>
        <w:rPr>
          <w:rFonts w:ascii="Times New Roman" w:hAnsi="Times New Roman" w:cs="Times New Roman"/>
          <w:b/>
          <w:color w:val="auto"/>
          <w:sz w:val="28"/>
          <w:szCs w:val="28"/>
          <w:shd w:val="clear" w:color="auto" w:fill="auto"/>
        </w:rPr>
        <w:t>附件</w:t>
      </w:r>
      <w:r>
        <w:rPr>
          <w:rFonts w:hint="eastAsia" w:cs="Times New Roman"/>
          <w:b/>
          <w:color w:val="auto"/>
          <w:sz w:val="28"/>
          <w:szCs w:val="28"/>
          <w:shd w:val="clear" w:color="auto" w:fill="auto"/>
          <w:lang w:eastAsia="zh-CN"/>
        </w:rPr>
        <w:t>二</w:t>
      </w:r>
      <w:r>
        <w:rPr>
          <w:rFonts w:ascii="Times New Roman" w:hAnsi="Times New Roman" w:cs="Times New Roman"/>
          <w:b/>
          <w:color w:val="auto"/>
          <w:sz w:val="28"/>
          <w:szCs w:val="28"/>
          <w:shd w:val="clear" w:color="auto" w:fill="auto"/>
        </w:rPr>
        <w:t xml:space="preserve"> 环评批复</w:t>
      </w:r>
    </w:p>
    <w:p>
      <w:pPr>
        <w:rPr>
          <w:rFonts w:hint="eastAsia" w:ascii="Times New Roman" w:hAnsi="Times New Roman" w:eastAsia="宋体" w:cs="Times New Roman"/>
          <w:b/>
          <w:color w:val="FF0000"/>
          <w:sz w:val="28"/>
          <w:szCs w:val="28"/>
          <w:shd w:val="clear" w:color="auto" w:fill="auto"/>
          <w:lang w:eastAsia="zh-CN"/>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ascii="Times New Roman" w:hAnsi="Times New Roman" w:eastAsia="宋体" w:cs="Times New Roman"/>
          <w:b/>
          <w:color w:val="FF0000"/>
          <w:sz w:val="28"/>
          <w:szCs w:val="28"/>
          <w:shd w:val="clear" w:color="auto" w:fill="auto"/>
          <w:lang w:eastAsia="zh-CN"/>
        </w:rPr>
        <w:drawing>
          <wp:inline distT="0" distB="0" distL="114300" distR="114300">
            <wp:extent cx="4914265" cy="7362190"/>
            <wp:effectExtent l="0" t="0" r="635" b="10160"/>
            <wp:docPr id="105" name="图片 105" descr="IMG_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IMG_4805"/>
                    <pic:cNvPicPr>
                      <a:picLocks noChangeAspect="1"/>
                    </pic:cNvPicPr>
                  </pic:nvPicPr>
                  <pic:blipFill>
                    <a:blip r:embed="rId50"/>
                    <a:stretch>
                      <a:fillRect/>
                    </a:stretch>
                  </pic:blipFill>
                  <pic:spPr>
                    <a:xfrm>
                      <a:off x="0" y="0"/>
                      <a:ext cx="4914265" cy="7362190"/>
                    </a:xfrm>
                    <a:prstGeom prst="rect">
                      <a:avLst/>
                    </a:prstGeom>
                  </pic:spPr>
                </pic:pic>
              </a:graphicData>
            </a:graphic>
          </wp:inline>
        </w:drawing>
      </w:r>
      <w:r>
        <w:rPr>
          <w:rFonts w:hint="eastAsia" w:ascii="Times New Roman" w:hAnsi="Times New Roman" w:eastAsia="宋体" w:cs="Times New Roman"/>
          <w:b/>
          <w:color w:val="FF0000"/>
          <w:sz w:val="28"/>
          <w:szCs w:val="28"/>
          <w:shd w:val="clear" w:color="auto" w:fill="auto"/>
          <w:lang w:eastAsia="zh-CN"/>
        </w:rPr>
        <w:drawing>
          <wp:inline distT="0" distB="0" distL="114300" distR="114300">
            <wp:extent cx="5267960" cy="8103870"/>
            <wp:effectExtent l="0" t="0" r="8890" b="11430"/>
            <wp:docPr id="106" name="图片 106" descr="IMG_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IMG_4806"/>
                    <pic:cNvPicPr>
                      <a:picLocks noChangeAspect="1"/>
                    </pic:cNvPicPr>
                  </pic:nvPicPr>
                  <pic:blipFill>
                    <a:blip r:embed="rId51"/>
                    <a:stretch>
                      <a:fillRect/>
                    </a:stretch>
                  </pic:blipFill>
                  <pic:spPr>
                    <a:xfrm>
                      <a:off x="0" y="0"/>
                      <a:ext cx="5267960" cy="8103870"/>
                    </a:xfrm>
                    <a:prstGeom prst="rect">
                      <a:avLst/>
                    </a:prstGeom>
                  </pic:spPr>
                </pic:pic>
              </a:graphicData>
            </a:graphic>
          </wp:inline>
        </w:drawing>
      </w:r>
      <w:r>
        <w:rPr>
          <w:rFonts w:hint="eastAsia" w:ascii="Times New Roman" w:hAnsi="Times New Roman" w:eastAsia="宋体" w:cs="Times New Roman"/>
          <w:b/>
          <w:color w:val="FF0000"/>
          <w:sz w:val="28"/>
          <w:szCs w:val="28"/>
          <w:shd w:val="clear" w:color="auto" w:fill="auto"/>
          <w:lang w:eastAsia="zh-CN"/>
        </w:rPr>
        <w:drawing>
          <wp:inline distT="0" distB="0" distL="114300" distR="114300">
            <wp:extent cx="4999990" cy="8009255"/>
            <wp:effectExtent l="0" t="0" r="10160" b="10795"/>
            <wp:docPr id="107" name="图片 107" descr="IMG_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IMG_4807"/>
                    <pic:cNvPicPr>
                      <a:picLocks noChangeAspect="1"/>
                    </pic:cNvPicPr>
                  </pic:nvPicPr>
                  <pic:blipFill>
                    <a:blip r:embed="rId52"/>
                    <a:stretch>
                      <a:fillRect/>
                    </a:stretch>
                  </pic:blipFill>
                  <pic:spPr>
                    <a:xfrm>
                      <a:off x="0" y="0"/>
                      <a:ext cx="4999990" cy="8009255"/>
                    </a:xfrm>
                    <a:prstGeom prst="rect">
                      <a:avLst/>
                    </a:prstGeom>
                  </pic:spPr>
                </pic:pic>
              </a:graphicData>
            </a:graphic>
          </wp:inline>
        </w:drawing>
      </w:r>
      <w:r>
        <w:rPr>
          <w:rFonts w:hint="eastAsia" w:ascii="Times New Roman" w:hAnsi="Times New Roman" w:eastAsia="宋体" w:cs="Times New Roman"/>
          <w:b/>
          <w:color w:val="FF0000"/>
          <w:sz w:val="28"/>
          <w:szCs w:val="28"/>
          <w:shd w:val="clear" w:color="auto" w:fill="auto"/>
          <w:lang w:eastAsia="zh-CN"/>
        </w:rPr>
        <w:drawing>
          <wp:inline distT="0" distB="0" distL="114300" distR="114300">
            <wp:extent cx="5219065" cy="8152130"/>
            <wp:effectExtent l="0" t="0" r="635" b="1270"/>
            <wp:docPr id="108" name="图片 108" descr="IMG_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IMG_4808"/>
                    <pic:cNvPicPr>
                      <a:picLocks noChangeAspect="1"/>
                    </pic:cNvPicPr>
                  </pic:nvPicPr>
                  <pic:blipFill>
                    <a:blip r:embed="rId53"/>
                    <a:stretch>
                      <a:fillRect/>
                    </a:stretch>
                  </pic:blipFill>
                  <pic:spPr>
                    <a:xfrm>
                      <a:off x="0" y="0"/>
                      <a:ext cx="5219065" cy="8152130"/>
                    </a:xfrm>
                    <a:prstGeom prst="rect">
                      <a:avLst/>
                    </a:prstGeom>
                  </pic:spPr>
                </pic:pic>
              </a:graphicData>
            </a:graphic>
          </wp:inline>
        </w:drawing>
      </w:r>
      <w:r>
        <w:rPr>
          <w:rFonts w:hint="eastAsia" w:ascii="Times New Roman" w:hAnsi="Times New Roman" w:eastAsia="宋体" w:cs="Times New Roman"/>
          <w:b/>
          <w:color w:val="FF0000"/>
          <w:sz w:val="28"/>
          <w:szCs w:val="28"/>
          <w:shd w:val="clear" w:color="auto" w:fill="auto"/>
          <w:lang w:eastAsia="zh-CN"/>
        </w:rPr>
        <w:drawing>
          <wp:inline distT="0" distB="0" distL="114300" distR="114300">
            <wp:extent cx="5267960" cy="7990840"/>
            <wp:effectExtent l="0" t="0" r="8890" b="10160"/>
            <wp:docPr id="109" name="图片 109" descr="IMG_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IMG_4809"/>
                    <pic:cNvPicPr>
                      <a:picLocks noChangeAspect="1"/>
                    </pic:cNvPicPr>
                  </pic:nvPicPr>
                  <pic:blipFill>
                    <a:blip r:embed="rId54"/>
                    <a:stretch>
                      <a:fillRect/>
                    </a:stretch>
                  </pic:blipFill>
                  <pic:spPr>
                    <a:xfrm>
                      <a:off x="0" y="0"/>
                      <a:ext cx="5267960" cy="7990840"/>
                    </a:xfrm>
                    <a:prstGeom prst="rect">
                      <a:avLst/>
                    </a:prstGeom>
                  </pic:spPr>
                </pic:pic>
              </a:graphicData>
            </a:graphic>
          </wp:inline>
        </w:drawing>
      </w:r>
      <w:r>
        <w:rPr>
          <w:rFonts w:hint="eastAsia" w:ascii="Times New Roman" w:hAnsi="Times New Roman" w:eastAsia="宋体" w:cs="Times New Roman"/>
          <w:b/>
          <w:color w:val="FF0000"/>
          <w:sz w:val="28"/>
          <w:szCs w:val="28"/>
          <w:shd w:val="clear" w:color="auto" w:fill="auto"/>
          <w:lang w:eastAsia="zh-CN"/>
        </w:rPr>
        <w:drawing>
          <wp:inline distT="0" distB="0" distL="114300" distR="114300">
            <wp:extent cx="5266055" cy="7721600"/>
            <wp:effectExtent l="0" t="0" r="10795" b="12700"/>
            <wp:docPr id="110" name="图片 110" descr="IMG_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IMG_4804"/>
                    <pic:cNvPicPr>
                      <a:picLocks noChangeAspect="1"/>
                    </pic:cNvPicPr>
                  </pic:nvPicPr>
                  <pic:blipFill>
                    <a:blip r:embed="rId55"/>
                    <a:stretch>
                      <a:fillRect/>
                    </a:stretch>
                  </pic:blipFill>
                  <pic:spPr>
                    <a:xfrm>
                      <a:off x="0" y="0"/>
                      <a:ext cx="5266055" cy="7721600"/>
                    </a:xfrm>
                    <a:prstGeom prst="rect">
                      <a:avLst/>
                    </a:prstGeom>
                  </pic:spPr>
                </pic:pic>
              </a:graphicData>
            </a:graphic>
          </wp:inline>
        </w:drawing>
      </w:r>
    </w:p>
    <w:p>
      <w:pPr>
        <w:rPr>
          <w:rFonts w:hint="eastAsia" w:cs="Times New Roman"/>
          <w:b/>
          <w:color w:val="auto"/>
          <w:sz w:val="28"/>
          <w:szCs w:val="28"/>
          <w:shd w:val="clear" w:color="auto" w:fill="auto"/>
          <w:lang w:val="en-US" w:eastAsia="zh-CN"/>
        </w:rPr>
      </w:pPr>
      <w:r>
        <w:rPr>
          <w:rFonts w:hint="eastAsia" w:cs="Times New Roman"/>
          <w:b/>
          <w:color w:val="auto"/>
          <w:sz w:val="28"/>
          <w:szCs w:val="28"/>
          <w:shd w:val="clear" w:color="auto" w:fill="auto"/>
          <w:lang w:val="en-US" w:eastAsia="zh-CN"/>
        </w:rPr>
        <w:drawing>
          <wp:anchor distT="0" distB="0" distL="114300" distR="114300" simplePos="0" relativeHeight="679793664" behindDoc="0" locked="0" layoutInCell="1" allowOverlap="1">
            <wp:simplePos x="0" y="0"/>
            <wp:positionH relativeFrom="column">
              <wp:posOffset>514985</wp:posOffset>
            </wp:positionH>
            <wp:positionV relativeFrom="paragraph">
              <wp:posOffset>461645</wp:posOffset>
            </wp:positionV>
            <wp:extent cx="7610475" cy="5509895"/>
            <wp:effectExtent l="0" t="0" r="9525" b="14605"/>
            <wp:wrapSquare wrapText="bothSides"/>
            <wp:docPr id="111" name="图片 111" descr="IMG_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IMG_4779"/>
                    <pic:cNvPicPr>
                      <a:picLocks noChangeAspect="1"/>
                    </pic:cNvPicPr>
                  </pic:nvPicPr>
                  <pic:blipFill>
                    <a:blip r:embed="rId56"/>
                    <a:stretch>
                      <a:fillRect/>
                    </a:stretch>
                  </pic:blipFill>
                  <pic:spPr>
                    <a:xfrm>
                      <a:off x="0" y="0"/>
                      <a:ext cx="7610475" cy="5509895"/>
                    </a:xfrm>
                    <a:prstGeom prst="rect">
                      <a:avLst/>
                    </a:prstGeom>
                  </pic:spPr>
                </pic:pic>
              </a:graphicData>
            </a:graphic>
          </wp:anchor>
        </w:drawing>
      </w:r>
      <w:r>
        <w:rPr>
          <w:rFonts w:hint="eastAsia" w:cs="Times New Roman"/>
          <w:b/>
          <w:color w:val="auto"/>
          <w:sz w:val="28"/>
          <w:szCs w:val="28"/>
          <w:shd w:val="clear" w:color="auto" w:fill="auto"/>
          <w:lang w:val="en-US" w:eastAsia="zh-CN"/>
        </w:rPr>
        <w:t>附件三 安全生产许可证</w:t>
      </w:r>
    </w:p>
    <w:p>
      <w:pPr>
        <w:rPr>
          <w:rFonts w:hint="eastAsia" w:cs="Times New Roman"/>
          <w:b/>
          <w:color w:val="auto"/>
          <w:sz w:val="28"/>
          <w:szCs w:val="28"/>
          <w:shd w:val="clear" w:color="auto" w:fill="auto"/>
          <w:lang w:val="en-US" w:eastAsia="zh-CN"/>
        </w:rPr>
      </w:pPr>
    </w:p>
    <w:p>
      <w:pPr>
        <w:rPr>
          <w:rFonts w:hint="eastAsia" w:cs="Times New Roman"/>
          <w:b/>
          <w:color w:val="auto"/>
          <w:sz w:val="28"/>
          <w:szCs w:val="28"/>
          <w:shd w:val="clear" w:color="auto" w:fill="auto"/>
          <w:lang w:val="en-US" w:eastAsia="zh-CN"/>
        </w:rPr>
      </w:pPr>
    </w:p>
    <w:p>
      <w:pPr>
        <w:rPr>
          <w:rFonts w:hint="eastAsia" w:cs="Times New Roman"/>
          <w:b/>
          <w:color w:val="auto"/>
          <w:sz w:val="28"/>
          <w:szCs w:val="28"/>
          <w:shd w:val="clear" w:color="auto" w:fill="auto"/>
          <w:lang w:val="en-US" w:eastAsia="zh-CN"/>
        </w:rPr>
      </w:pPr>
    </w:p>
    <w:p>
      <w:pPr>
        <w:rPr>
          <w:rFonts w:hint="eastAsia" w:cs="Times New Roman"/>
          <w:b/>
          <w:color w:val="auto"/>
          <w:sz w:val="28"/>
          <w:szCs w:val="28"/>
          <w:shd w:val="clear" w:color="auto" w:fill="auto"/>
          <w:lang w:val="en-US" w:eastAsia="zh-CN"/>
        </w:rPr>
      </w:pPr>
    </w:p>
    <w:p>
      <w:pPr>
        <w:rPr>
          <w:rFonts w:hint="eastAsia" w:cs="Times New Roman"/>
          <w:b/>
          <w:color w:val="auto"/>
          <w:sz w:val="28"/>
          <w:szCs w:val="28"/>
          <w:shd w:val="clear" w:color="auto" w:fill="auto"/>
          <w:lang w:val="en-US" w:eastAsia="zh-CN"/>
        </w:rPr>
      </w:pPr>
    </w:p>
    <w:p>
      <w:pPr>
        <w:rPr>
          <w:rFonts w:hint="eastAsia" w:cs="Times New Roman"/>
          <w:b/>
          <w:color w:val="auto"/>
          <w:sz w:val="28"/>
          <w:szCs w:val="28"/>
          <w:shd w:val="clear" w:color="auto" w:fill="auto"/>
          <w:lang w:val="en-US" w:eastAsia="zh-CN"/>
        </w:rPr>
      </w:pPr>
    </w:p>
    <w:p>
      <w:pPr>
        <w:rPr>
          <w:rFonts w:hint="eastAsia" w:cs="Times New Roman"/>
          <w:b/>
          <w:color w:val="auto"/>
          <w:sz w:val="28"/>
          <w:szCs w:val="28"/>
          <w:shd w:val="clear" w:color="auto" w:fill="auto"/>
          <w:lang w:val="en-US" w:eastAsia="zh-CN"/>
        </w:rPr>
        <w:sectPr>
          <w:pgSz w:w="16838" w:h="11906" w:orient="landscape"/>
          <w:pgMar w:top="1803" w:right="1440" w:bottom="1803" w:left="1440"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rPr>
          <w:rFonts w:hint="eastAsia" w:cs="Times New Roman"/>
          <w:b/>
          <w:color w:val="auto"/>
          <w:sz w:val="28"/>
          <w:szCs w:val="28"/>
          <w:shd w:val="clear" w:color="auto" w:fill="auto"/>
          <w:lang w:val="en-US" w:eastAsia="zh-CN"/>
        </w:rPr>
      </w:pPr>
      <w:r>
        <w:rPr>
          <w:rFonts w:hint="eastAsia" w:cs="Times New Roman"/>
          <w:b/>
          <w:color w:val="FF0000"/>
          <w:sz w:val="28"/>
          <w:szCs w:val="28"/>
          <w:shd w:val="clear" w:color="auto" w:fill="auto"/>
          <w:lang w:val="en-US" w:eastAsia="zh-CN"/>
        </w:rPr>
        <w:drawing>
          <wp:anchor distT="0" distB="0" distL="114300" distR="114300" simplePos="0" relativeHeight="683201536" behindDoc="0" locked="0" layoutInCell="1" allowOverlap="1">
            <wp:simplePos x="0" y="0"/>
            <wp:positionH relativeFrom="column">
              <wp:posOffset>643890</wp:posOffset>
            </wp:positionH>
            <wp:positionV relativeFrom="paragraph">
              <wp:posOffset>429895</wp:posOffset>
            </wp:positionV>
            <wp:extent cx="7684135" cy="5450840"/>
            <wp:effectExtent l="0" t="0" r="12065" b="16510"/>
            <wp:wrapSquare wrapText="bothSides"/>
            <wp:docPr id="112" name="图片 112" descr="IMG_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IMG_4780"/>
                    <pic:cNvPicPr>
                      <a:picLocks noChangeAspect="1"/>
                    </pic:cNvPicPr>
                  </pic:nvPicPr>
                  <pic:blipFill>
                    <a:blip r:embed="rId57"/>
                    <a:srcRect r="410"/>
                    <a:stretch>
                      <a:fillRect/>
                    </a:stretch>
                  </pic:blipFill>
                  <pic:spPr>
                    <a:xfrm>
                      <a:off x="0" y="0"/>
                      <a:ext cx="7684135" cy="5450840"/>
                    </a:xfrm>
                    <a:prstGeom prst="rect">
                      <a:avLst/>
                    </a:prstGeom>
                  </pic:spPr>
                </pic:pic>
              </a:graphicData>
            </a:graphic>
          </wp:anchor>
        </w:drawing>
      </w:r>
      <w:r>
        <w:rPr>
          <w:rFonts w:hint="eastAsia" w:cs="Times New Roman"/>
          <w:b/>
          <w:color w:val="auto"/>
          <w:sz w:val="28"/>
          <w:szCs w:val="28"/>
          <w:shd w:val="clear" w:color="auto" w:fill="auto"/>
          <w:lang w:val="en-US" w:eastAsia="zh-CN"/>
        </w:rPr>
        <w:t>附件四 采矿许可证</w:t>
      </w:r>
    </w:p>
    <w:p>
      <w:pPr>
        <w:rPr>
          <w:rFonts w:hint="eastAsia" w:cs="Times New Roman"/>
          <w:b/>
          <w:color w:val="auto"/>
          <w:sz w:val="28"/>
          <w:szCs w:val="28"/>
          <w:shd w:val="clear" w:color="auto" w:fill="auto"/>
          <w:lang w:val="en-US" w:eastAsia="zh-CN"/>
        </w:rPr>
      </w:pPr>
    </w:p>
    <w:p>
      <w:pPr>
        <w:rPr>
          <w:rFonts w:hint="eastAsia" w:cs="Times New Roman"/>
          <w:b/>
          <w:color w:val="auto"/>
          <w:sz w:val="28"/>
          <w:szCs w:val="28"/>
          <w:shd w:val="clear" w:color="auto" w:fill="auto"/>
          <w:lang w:val="en-US" w:eastAsia="zh-CN"/>
        </w:rPr>
      </w:pPr>
    </w:p>
    <w:p>
      <w:pPr>
        <w:rPr>
          <w:rFonts w:hint="eastAsia" w:cs="Times New Roman"/>
          <w:b/>
          <w:color w:val="auto"/>
          <w:sz w:val="28"/>
          <w:szCs w:val="28"/>
          <w:shd w:val="clear" w:color="auto" w:fill="auto"/>
          <w:lang w:val="en-US" w:eastAsia="zh-CN"/>
        </w:rPr>
        <w:sectPr>
          <w:pgSz w:w="16838" w:h="11906" w:orient="landscape"/>
          <w:pgMar w:top="1803" w:right="1440" w:bottom="1803" w:left="1440"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rPr>
          <w:rFonts w:hint="eastAsia" w:cs="Times New Roman"/>
          <w:b/>
          <w:color w:val="auto"/>
          <w:sz w:val="28"/>
          <w:szCs w:val="28"/>
          <w:shd w:val="clear" w:color="auto" w:fill="auto"/>
          <w:lang w:val="en-US" w:eastAsia="zh-CN"/>
        </w:rPr>
      </w:pPr>
      <w:r>
        <w:rPr>
          <w:rFonts w:hint="eastAsia" w:cs="Times New Roman"/>
          <w:b/>
          <w:color w:val="FF0000"/>
          <w:sz w:val="28"/>
          <w:szCs w:val="28"/>
          <w:shd w:val="clear" w:color="auto" w:fill="auto"/>
          <w:lang w:val="en-US" w:eastAsia="zh-CN"/>
        </w:rPr>
        <w:drawing>
          <wp:anchor distT="0" distB="0" distL="114300" distR="114300" simplePos="0" relativeHeight="694837248" behindDoc="0" locked="0" layoutInCell="1" allowOverlap="1">
            <wp:simplePos x="0" y="0"/>
            <wp:positionH relativeFrom="column">
              <wp:posOffset>-97790</wp:posOffset>
            </wp:positionH>
            <wp:positionV relativeFrom="paragraph">
              <wp:posOffset>432435</wp:posOffset>
            </wp:positionV>
            <wp:extent cx="5708650" cy="8083550"/>
            <wp:effectExtent l="0" t="0" r="6350" b="12700"/>
            <wp:wrapSquare wrapText="bothSides"/>
            <wp:docPr id="113" name="图片 113" descr="IMG_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IMG_4781"/>
                    <pic:cNvPicPr>
                      <a:picLocks noChangeAspect="1"/>
                    </pic:cNvPicPr>
                  </pic:nvPicPr>
                  <pic:blipFill>
                    <a:blip r:embed="rId58"/>
                    <a:stretch>
                      <a:fillRect/>
                    </a:stretch>
                  </pic:blipFill>
                  <pic:spPr>
                    <a:xfrm>
                      <a:off x="0" y="0"/>
                      <a:ext cx="5708650" cy="8083550"/>
                    </a:xfrm>
                    <a:prstGeom prst="rect">
                      <a:avLst/>
                    </a:prstGeom>
                  </pic:spPr>
                </pic:pic>
              </a:graphicData>
            </a:graphic>
          </wp:anchor>
        </w:drawing>
      </w:r>
      <w:r>
        <w:rPr>
          <w:rFonts w:hint="eastAsia" w:cs="Times New Roman"/>
          <w:b/>
          <w:color w:val="auto"/>
          <w:sz w:val="28"/>
          <w:szCs w:val="28"/>
          <w:shd w:val="clear" w:color="auto" w:fill="auto"/>
          <w:lang w:val="en-US" w:eastAsia="zh-CN"/>
        </w:rPr>
        <w:t>附件五 营业执照</w:t>
      </w:r>
    </w:p>
    <w:p>
      <w:pPr>
        <w:rPr>
          <w:rFonts w:hint="eastAsia" w:cs="Times New Roman"/>
          <w:b/>
          <w:color w:val="auto"/>
          <w:sz w:val="28"/>
          <w:szCs w:val="28"/>
          <w:shd w:val="clear" w:color="auto" w:fill="auto"/>
          <w:lang w:val="en-US" w:eastAsia="zh-CN"/>
        </w:rPr>
      </w:pPr>
    </w:p>
    <w:p>
      <w:pPr>
        <w:rPr>
          <w:rFonts w:hint="eastAsia" w:cs="Times New Roman"/>
          <w:b/>
          <w:color w:val="auto"/>
          <w:sz w:val="28"/>
          <w:szCs w:val="28"/>
          <w:shd w:val="clear" w:color="auto" w:fill="auto"/>
          <w:lang w:val="en-US" w:eastAsia="zh-CN"/>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rPr>
          <w:rFonts w:hint="eastAsia" w:cs="Times New Roman"/>
          <w:b/>
          <w:color w:val="auto"/>
          <w:sz w:val="28"/>
          <w:szCs w:val="28"/>
          <w:shd w:val="clear" w:color="auto" w:fill="auto"/>
          <w:lang w:eastAsia="zh-CN"/>
        </w:rPr>
      </w:pPr>
      <w:r>
        <w:rPr>
          <w:rFonts w:hint="eastAsia" w:cs="Times New Roman"/>
          <w:b/>
          <w:color w:val="auto"/>
          <w:sz w:val="28"/>
          <w:szCs w:val="28"/>
          <w:shd w:val="clear" w:color="auto" w:fill="auto"/>
          <w:lang w:val="en-US" w:eastAsia="zh-CN"/>
        </w:rPr>
        <w:t xml:space="preserve">附件六 </w:t>
      </w:r>
      <w:r>
        <w:rPr>
          <w:rFonts w:hint="eastAsia" w:cs="Times New Roman"/>
          <w:b/>
          <w:color w:val="auto"/>
          <w:sz w:val="28"/>
          <w:szCs w:val="28"/>
          <w:shd w:val="clear" w:color="auto" w:fill="auto"/>
          <w:lang w:eastAsia="zh-CN"/>
        </w:rPr>
        <w:t>世源矿业环评批复</w:t>
      </w:r>
    </w:p>
    <w:p>
      <w:pPr>
        <w:rPr>
          <w:rFonts w:hint="eastAsia" w:cs="Times New Roman"/>
          <w:b/>
          <w:color w:val="FF0000"/>
          <w:sz w:val="28"/>
          <w:szCs w:val="28"/>
          <w:shd w:val="clear" w:color="auto" w:fill="auto"/>
          <w:lang w:eastAsia="zh-CN"/>
        </w:rPr>
      </w:pPr>
      <w:r>
        <w:rPr>
          <w:rFonts w:hint="eastAsia" w:cs="Times New Roman"/>
          <w:b/>
          <w:color w:val="FF0000"/>
          <w:sz w:val="28"/>
          <w:szCs w:val="28"/>
          <w:shd w:val="clear" w:color="auto" w:fill="auto"/>
          <w:lang w:eastAsia="zh-CN"/>
        </w:rPr>
        <w:drawing>
          <wp:anchor distT="0" distB="0" distL="114300" distR="114300" simplePos="0" relativeHeight="696241152" behindDoc="0" locked="0" layoutInCell="1" allowOverlap="1">
            <wp:simplePos x="0" y="0"/>
            <wp:positionH relativeFrom="column">
              <wp:posOffset>-84455</wp:posOffset>
            </wp:positionH>
            <wp:positionV relativeFrom="paragraph">
              <wp:posOffset>78740</wp:posOffset>
            </wp:positionV>
            <wp:extent cx="5523865" cy="7642860"/>
            <wp:effectExtent l="0" t="0" r="635" b="15240"/>
            <wp:wrapSquare wrapText="bothSides"/>
            <wp:docPr id="114" name="图片 114" descr="世源矿业环评报告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世源矿业环评报告批复1"/>
                    <pic:cNvPicPr>
                      <a:picLocks noChangeAspect="1"/>
                    </pic:cNvPicPr>
                  </pic:nvPicPr>
                  <pic:blipFill>
                    <a:blip r:embed="rId59"/>
                    <a:srcRect l="3827" t="2037" b="2037"/>
                    <a:stretch>
                      <a:fillRect/>
                    </a:stretch>
                  </pic:blipFill>
                  <pic:spPr>
                    <a:xfrm>
                      <a:off x="0" y="0"/>
                      <a:ext cx="5523865" cy="7642860"/>
                    </a:xfrm>
                    <a:prstGeom prst="rect">
                      <a:avLst/>
                    </a:prstGeom>
                  </pic:spPr>
                </pic:pic>
              </a:graphicData>
            </a:graphic>
          </wp:anchor>
        </w:drawing>
      </w:r>
    </w:p>
    <w:p>
      <w:pPr>
        <w:rPr>
          <w:rFonts w:hint="eastAsia" w:ascii="Times New Roman" w:hAnsi="Times New Roman" w:eastAsia="宋体" w:cs="Times New Roman"/>
          <w:b/>
          <w:color w:val="FF0000"/>
          <w:sz w:val="28"/>
          <w:szCs w:val="28"/>
          <w:shd w:val="clear" w:color="auto" w:fill="auto"/>
          <w:lang w:eastAsia="zh-CN"/>
        </w:rPr>
      </w:pPr>
    </w:p>
    <w:p>
      <w:pPr>
        <w:jc w:val="both"/>
        <w:rPr>
          <w:rFonts w:hint="eastAsia"/>
          <w:b/>
          <w:bCs/>
          <w:color w:val="FF0000"/>
          <w:sz w:val="28"/>
          <w:szCs w:val="28"/>
          <w:lang w:eastAsia="zh-CN"/>
        </w:rPr>
      </w:pPr>
      <w:r>
        <w:rPr>
          <w:rFonts w:hint="eastAsia"/>
          <w:b/>
          <w:bCs/>
          <w:color w:val="FF0000"/>
          <w:sz w:val="28"/>
          <w:szCs w:val="28"/>
          <w:lang w:eastAsia="zh-CN"/>
        </w:rPr>
        <w:drawing>
          <wp:anchor distT="0" distB="0" distL="114300" distR="114300" simplePos="0" relativeHeight="696242176" behindDoc="0" locked="0" layoutInCell="1" allowOverlap="1">
            <wp:simplePos x="0" y="0"/>
            <wp:positionH relativeFrom="column">
              <wp:posOffset>-31115</wp:posOffset>
            </wp:positionH>
            <wp:positionV relativeFrom="paragraph">
              <wp:posOffset>168275</wp:posOffset>
            </wp:positionV>
            <wp:extent cx="5518150" cy="8067675"/>
            <wp:effectExtent l="0" t="0" r="6350" b="9525"/>
            <wp:wrapSquare wrapText="bothSides"/>
            <wp:docPr id="115" name="图片 115" descr="世源矿业环评报告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世源矿业环评报告批复2"/>
                    <pic:cNvPicPr>
                      <a:picLocks noChangeAspect="1"/>
                    </pic:cNvPicPr>
                  </pic:nvPicPr>
                  <pic:blipFill>
                    <a:blip r:embed="rId60"/>
                    <a:srcRect l="4032" t="1018" r="3827" b="1880"/>
                    <a:stretch>
                      <a:fillRect/>
                    </a:stretch>
                  </pic:blipFill>
                  <pic:spPr>
                    <a:xfrm>
                      <a:off x="0" y="0"/>
                      <a:ext cx="5518150" cy="8067675"/>
                    </a:xfrm>
                    <a:prstGeom prst="rect">
                      <a:avLst/>
                    </a:prstGeom>
                  </pic:spPr>
                </pic:pic>
              </a:graphicData>
            </a:graphic>
          </wp:anchor>
        </w:drawing>
      </w:r>
    </w:p>
    <w:p>
      <w:pPr>
        <w:jc w:val="both"/>
        <w:rPr>
          <w:rFonts w:hint="eastAsia"/>
          <w:b/>
          <w:bCs/>
          <w:color w:val="FF0000"/>
          <w:sz w:val="28"/>
          <w:szCs w:val="28"/>
          <w:lang w:eastAsia="zh-CN"/>
        </w:rPr>
      </w:pPr>
      <w:r>
        <w:rPr>
          <w:rFonts w:hint="eastAsia"/>
          <w:b/>
          <w:bCs/>
          <w:color w:val="FF0000"/>
          <w:sz w:val="28"/>
          <w:szCs w:val="28"/>
          <w:lang w:eastAsia="zh-CN"/>
        </w:rPr>
        <w:drawing>
          <wp:anchor distT="0" distB="0" distL="114300" distR="114300" simplePos="0" relativeHeight="696243200" behindDoc="0" locked="0" layoutInCell="1" allowOverlap="1">
            <wp:simplePos x="0" y="0"/>
            <wp:positionH relativeFrom="column">
              <wp:posOffset>-52705</wp:posOffset>
            </wp:positionH>
            <wp:positionV relativeFrom="paragraph">
              <wp:posOffset>254635</wp:posOffset>
            </wp:positionV>
            <wp:extent cx="5608320" cy="8272145"/>
            <wp:effectExtent l="0" t="0" r="11430" b="14605"/>
            <wp:wrapSquare wrapText="bothSides"/>
            <wp:docPr id="116" name="图片 116" descr="世源矿业环评报告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世源矿业环评报告批复3"/>
                    <pic:cNvPicPr>
                      <a:picLocks noChangeAspect="1"/>
                    </pic:cNvPicPr>
                  </pic:nvPicPr>
                  <pic:blipFill>
                    <a:blip r:embed="rId61"/>
                    <a:srcRect l="4636" t="493" r="3827" b="2176"/>
                    <a:stretch>
                      <a:fillRect/>
                    </a:stretch>
                  </pic:blipFill>
                  <pic:spPr>
                    <a:xfrm>
                      <a:off x="0" y="0"/>
                      <a:ext cx="5608320" cy="8272145"/>
                    </a:xfrm>
                    <a:prstGeom prst="rect">
                      <a:avLst/>
                    </a:prstGeom>
                  </pic:spPr>
                </pic:pic>
              </a:graphicData>
            </a:graphic>
          </wp:anchor>
        </w:drawing>
      </w:r>
    </w:p>
    <w:p>
      <w:pPr>
        <w:jc w:val="both"/>
        <w:rPr>
          <w:rFonts w:hint="eastAsia"/>
          <w:b/>
          <w:bCs/>
          <w:color w:val="auto"/>
          <w:sz w:val="28"/>
          <w:szCs w:val="28"/>
          <w:lang w:val="en-US" w:eastAsia="zh-CN"/>
        </w:rPr>
      </w:pPr>
      <w:r>
        <w:rPr>
          <w:rFonts w:hint="eastAsia"/>
          <w:b/>
          <w:bCs/>
          <w:color w:val="auto"/>
          <w:sz w:val="28"/>
          <w:szCs w:val="28"/>
          <w:lang w:eastAsia="zh-CN"/>
        </w:rPr>
        <w:t>附件七</w:t>
      </w:r>
      <w:r>
        <w:rPr>
          <w:rFonts w:hint="eastAsia"/>
          <w:b/>
          <w:bCs/>
          <w:color w:val="auto"/>
          <w:sz w:val="28"/>
          <w:szCs w:val="28"/>
          <w:lang w:val="en-US" w:eastAsia="zh-CN"/>
        </w:rPr>
        <w:t xml:space="preserve"> 世源矿业环评确认函</w:t>
      </w:r>
    </w:p>
    <w:p>
      <w:pPr>
        <w:jc w:val="both"/>
        <w:rPr>
          <w:rFonts w:hint="eastAsia"/>
          <w:b/>
          <w:bCs/>
          <w:color w:val="FF0000"/>
          <w:sz w:val="28"/>
          <w:szCs w:val="28"/>
          <w:lang w:val="en-US" w:eastAsia="zh-CN"/>
        </w:rPr>
      </w:pPr>
      <w:r>
        <w:rPr>
          <w:rFonts w:hint="eastAsia"/>
          <w:b/>
          <w:bCs/>
          <w:color w:val="FF0000"/>
          <w:sz w:val="28"/>
          <w:szCs w:val="28"/>
          <w:lang w:val="en-US" w:eastAsia="zh-CN"/>
        </w:rPr>
        <w:drawing>
          <wp:anchor distT="0" distB="0" distL="114300" distR="114300" simplePos="0" relativeHeight="697650176" behindDoc="0" locked="0" layoutInCell="1" allowOverlap="1">
            <wp:simplePos x="0" y="0"/>
            <wp:positionH relativeFrom="column">
              <wp:posOffset>-148590</wp:posOffset>
            </wp:positionH>
            <wp:positionV relativeFrom="paragraph">
              <wp:posOffset>105410</wp:posOffset>
            </wp:positionV>
            <wp:extent cx="5638165" cy="7851140"/>
            <wp:effectExtent l="0" t="0" r="635" b="16510"/>
            <wp:wrapSquare wrapText="bothSides"/>
            <wp:docPr id="117" name="图片 117" descr="世源矿业环评确认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世源矿业环评确认函"/>
                    <pic:cNvPicPr>
                      <a:picLocks noChangeAspect="1"/>
                    </pic:cNvPicPr>
                  </pic:nvPicPr>
                  <pic:blipFill>
                    <a:blip r:embed="rId62"/>
                    <a:srcRect l="3223" t="1453" r="1207" b="2611"/>
                    <a:stretch>
                      <a:fillRect/>
                    </a:stretch>
                  </pic:blipFill>
                  <pic:spPr>
                    <a:xfrm>
                      <a:off x="0" y="0"/>
                      <a:ext cx="5638165" cy="7851140"/>
                    </a:xfrm>
                    <a:prstGeom prst="rect">
                      <a:avLst/>
                    </a:prstGeom>
                  </pic:spPr>
                </pic:pic>
              </a:graphicData>
            </a:graphic>
          </wp:anchor>
        </w:drawing>
      </w:r>
    </w:p>
    <w:p>
      <w:pPr>
        <w:jc w:val="both"/>
        <w:rPr>
          <w:rFonts w:hint="eastAsia"/>
          <w:b/>
          <w:bCs/>
          <w:color w:val="auto"/>
          <w:sz w:val="28"/>
          <w:szCs w:val="28"/>
          <w:lang w:val="en-US" w:eastAsia="zh-CN"/>
        </w:rPr>
      </w:pPr>
      <w:r>
        <w:rPr>
          <w:rFonts w:hint="eastAsia"/>
          <w:b/>
          <w:bCs/>
          <w:color w:val="auto"/>
          <w:sz w:val="28"/>
          <w:szCs w:val="28"/>
          <w:lang w:val="en-US" w:eastAsia="zh-CN"/>
        </w:rPr>
        <w:t>附件八 世源矿业验收批复</w:t>
      </w:r>
    </w:p>
    <w:p>
      <w:pPr>
        <w:jc w:val="both"/>
        <w:rPr>
          <w:rFonts w:hint="eastAsia"/>
          <w:b/>
          <w:bCs/>
          <w:color w:val="FF0000"/>
          <w:sz w:val="28"/>
          <w:szCs w:val="28"/>
          <w:lang w:val="en-US" w:eastAsia="zh-CN"/>
        </w:rPr>
      </w:pPr>
      <w:r>
        <w:rPr>
          <w:rFonts w:hint="eastAsia"/>
          <w:b/>
          <w:bCs/>
          <w:color w:val="FF0000"/>
          <w:sz w:val="28"/>
          <w:szCs w:val="28"/>
          <w:lang w:val="en-US" w:eastAsia="zh-CN"/>
        </w:rPr>
        <w:drawing>
          <wp:anchor distT="0" distB="0" distL="114300" distR="114300" simplePos="0" relativeHeight="699058176" behindDoc="0" locked="0" layoutInCell="1" allowOverlap="1">
            <wp:simplePos x="0" y="0"/>
            <wp:positionH relativeFrom="column">
              <wp:posOffset>-190500</wp:posOffset>
            </wp:positionH>
            <wp:positionV relativeFrom="paragraph">
              <wp:posOffset>139700</wp:posOffset>
            </wp:positionV>
            <wp:extent cx="5790565" cy="7882890"/>
            <wp:effectExtent l="0" t="0" r="635" b="3810"/>
            <wp:wrapSquare wrapText="bothSides"/>
            <wp:docPr id="118" name="图片 118" descr="世源矿业环评验收批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世源矿业环评验收批复"/>
                    <pic:cNvPicPr>
                      <a:picLocks noChangeAspect="1"/>
                    </pic:cNvPicPr>
                  </pic:nvPicPr>
                  <pic:blipFill>
                    <a:blip r:embed="rId63"/>
                    <a:srcRect l="2813" t="2315" b="2315"/>
                    <a:stretch>
                      <a:fillRect/>
                    </a:stretch>
                  </pic:blipFill>
                  <pic:spPr>
                    <a:xfrm>
                      <a:off x="0" y="0"/>
                      <a:ext cx="5790565" cy="7882890"/>
                    </a:xfrm>
                    <a:prstGeom prst="rect">
                      <a:avLst/>
                    </a:prstGeom>
                  </pic:spPr>
                </pic:pic>
              </a:graphicData>
            </a:graphic>
          </wp:anchor>
        </w:drawing>
      </w:r>
    </w:p>
    <w:p>
      <w:pPr>
        <w:jc w:val="both"/>
        <w:rPr>
          <w:rFonts w:hint="eastAsia"/>
          <w:b/>
          <w:bCs/>
          <w:color w:val="auto"/>
          <w:sz w:val="28"/>
          <w:szCs w:val="28"/>
          <w:lang w:val="en-US" w:eastAsia="zh-CN"/>
        </w:rPr>
      </w:pPr>
      <w:r>
        <w:rPr>
          <w:rFonts w:hint="eastAsia"/>
          <w:b/>
          <w:bCs/>
          <w:color w:val="auto"/>
          <w:sz w:val="28"/>
          <w:szCs w:val="28"/>
          <w:lang w:val="en-US" w:eastAsia="zh-CN"/>
        </w:rPr>
        <w:t>附件九 水土保持验收批复</w:t>
      </w:r>
    </w:p>
    <w:p>
      <w:pPr>
        <w:jc w:val="both"/>
        <w:rPr>
          <w:rFonts w:hint="eastAsia"/>
          <w:b/>
          <w:bCs/>
          <w:color w:val="FF0000"/>
          <w:sz w:val="28"/>
          <w:szCs w:val="28"/>
          <w:lang w:val="en-US" w:eastAsia="zh-CN"/>
        </w:rPr>
      </w:pPr>
      <w:r>
        <w:rPr>
          <w:rFonts w:hint="eastAsia"/>
          <w:b/>
          <w:bCs/>
          <w:color w:val="FF0000"/>
          <w:sz w:val="28"/>
          <w:szCs w:val="28"/>
          <w:lang w:val="en-US" w:eastAsia="zh-CN"/>
        </w:rPr>
        <w:drawing>
          <wp:anchor distT="0" distB="0" distL="114300" distR="114300" simplePos="0" relativeHeight="700467200" behindDoc="0" locked="0" layoutInCell="1" allowOverlap="1">
            <wp:simplePos x="0" y="0"/>
            <wp:positionH relativeFrom="column">
              <wp:posOffset>-147955</wp:posOffset>
            </wp:positionH>
            <wp:positionV relativeFrom="paragraph">
              <wp:posOffset>163830</wp:posOffset>
            </wp:positionV>
            <wp:extent cx="5617845" cy="7527290"/>
            <wp:effectExtent l="0" t="0" r="1905" b="16510"/>
            <wp:wrapSquare wrapText="bothSides"/>
            <wp:docPr id="119" name="图片 119" descr="水保验收批复2017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水保验收批复20170704"/>
                    <pic:cNvPicPr>
                      <a:picLocks noChangeAspect="1"/>
                    </pic:cNvPicPr>
                  </pic:nvPicPr>
                  <pic:blipFill>
                    <a:blip r:embed="rId64"/>
                    <a:srcRect l="1245" t="2333" r="4627"/>
                    <a:stretch>
                      <a:fillRect/>
                    </a:stretch>
                  </pic:blipFill>
                  <pic:spPr>
                    <a:xfrm>
                      <a:off x="0" y="0"/>
                      <a:ext cx="5617845" cy="7527290"/>
                    </a:xfrm>
                    <a:prstGeom prst="rect">
                      <a:avLst/>
                    </a:prstGeom>
                  </pic:spPr>
                </pic:pic>
              </a:graphicData>
            </a:graphic>
          </wp:anchor>
        </w:drawing>
      </w:r>
    </w:p>
    <w:p>
      <w:pPr>
        <w:jc w:val="both"/>
        <w:rPr>
          <w:rFonts w:hint="eastAsia"/>
          <w:b/>
          <w:bCs/>
          <w:color w:val="FF0000"/>
          <w:sz w:val="28"/>
          <w:szCs w:val="28"/>
          <w:lang w:val="en-US" w:eastAsia="zh-CN"/>
        </w:rPr>
      </w:pPr>
    </w:p>
    <w:p>
      <w:pPr>
        <w:jc w:val="both"/>
        <w:rPr>
          <w:rFonts w:hint="eastAsia"/>
          <w:b/>
          <w:bCs/>
          <w:color w:val="auto"/>
          <w:sz w:val="28"/>
          <w:szCs w:val="28"/>
          <w:lang w:val="en-US" w:eastAsia="zh-CN"/>
        </w:rPr>
      </w:pPr>
      <w:r>
        <w:rPr>
          <w:rFonts w:hint="eastAsia"/>
          <w:b/>
          <w:bCs/>
          <w:color w:val="auto"/>
          <w:sz w:val="28"/>
          <w:szCs w:val="28"/>
          <w:lang w:val="en-US" w:eastAsia="zh-CN"/>
        </w:rPr>
        <w:t>附件十 应急预案备案表</w:t>
      </w:r>
    </w:p>
    <w:p>
      <w:pPr>
        <w:jc w:val="both"/>
        <w:rPr>
          <w:rFonts w:hint="eastAsia"/>
          <w:b/>
          <w:bCs/>
          <w:color w:val="FF0000"/>
          <w:sz w:val="28"/>
          <w:szCs w:val="28"/>
          <w:lang w:val="en-US" w:eastAsia="zh-CN"/>
        </w:rPr>
      </w:pPr>
      <w:r>
        <w:rPr>
          <w:rFonts w:hint="eastAsia"/>
          <w:b/>
          <w:bCs/>
          <w:color w:val="FF0000"/>
          <w:sz w:val="28"/>
          <w:szCs w:val="28"/>
          <w:lang w:val="en-US" w:eastAsia="zh-CN"/>
        </w:rPr>
        <w:drawing>
          <wp:anchor distT="0" distB="0" distL="114300" distR="114300" simplePos="0" relativeHeight="701877248" behindDoc="0" locked="0" layoutInCell="1" allowOverlap="1">
            <wp:simplePos x="0" y="0"/>
            <wp:positionH relativeFrom="column">
              <wp:posOffset>-116205</wp:posOffset>
            </wp:positionH>
            <wp:positionV relativeFrom="paragraph">
              <wp:posOffset>12065</wp:posOffset>
            </wp:positionV>
            <wp:extent cx="5883275" cy="7922895"/>
            <wp:effectExtent l="0" t="0" r="3175" b="1905"/>
            <wp:wrapSquare wrapText="bothSides"/>
            <wp:docPr id="120" name="图片 120" descr="应急预案备案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应急预案备案表1"/>
                    <pic:cNvPicPr>
                      <a:picLocks noChangeAspect="1"/>
                    </pic:cNvPicPr>
                  </pic:nvPicPr>
                  <pic:blipFill>
                    <a:blip r:embed="rId65"/>
                    <a:srcRect l="1205" t="933" r="3808"/>
                    <a:stretch>
                      <a:fillRect/>
                    </a:stretch>
                  </pic:blipFill>
                  <pic:spPr>
                    <a:xfrm>
                      <a:off x="0" y="0"/>
                      <a:ext cx="5883275" cy="7922895"/>
                    </a:xfrm>
                    <a:prstGeom prst="rect">
                      <a:avLst/>
                    </a:prstGeom>
                  </pic:spPr>
                </pic:pic>
              </a:graphicData>
            </a:graphic>
          </wp:anchor>
        </w:drawing>
      </w:r>
    </w:p>
    <w:p>
      <w:pPr>
        <w:jc w:val="both"/>
        <w:rPr>
          <w:rFonts w:ascii="Times New Roman" w:hAnsi="Times New Roman" w:cs="Times New Roman"/>
          <w:b/>
          <w:color w:val="FF0000"/>
          <w:sz w:val="28"/>
          <w:szCs w:val="28"/>
          <w:shd w:val="clear" w:color="auto" w:fill="auto"/>
        </w:rPr>
      </w:pPr>
      <w:r>
        <w:rPr>
          <w:rFonts w:hint="eastAsia"/>
          <w:b/>
          <w:bCs/>
          <w:color w:val="FF0000"/>
          <w:sz w:val="28"/>
          <w:szCs w:val="28"/>
          <w:lang w:val="en-US" w:eastAsia="zh-CN"/>
        </w:rPr>
        <w:drawing>
          <wp:anchor distT="0" distB="0" distL="114300" distR="114300" simplePos="0" relativeHeight="701878272" behindDoc="0" locked="0" layoutInCell="1" allowOverlap="1">
            <wp:simplePos x="0" y="0"/>
            <wp:positionH relativeFrom="column">
              <wp:posOffset>-293370</wp:posOffset>
            </wp:positionH>
            <wp:positionV relativeFrom="paragraph">
              <wp:posOffset>229235</wp:posOffset>
            </wp:positionV>
            <wp:extent cx="5922645" cy="7233285"/>
            <wp:effectExtent l="0" t="0" r="1905" b="5715"/>
            <wp:wrapSquare wrapText="bothSides"/>
            <wp:docPr id="121" name="图片 121" descr="应急预案备案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应急预案备案表2"/>
                    <pic:cNvPicPr>
                      <a:picLocks noChangeAspect="1"/>
                    </pic:cNvPicPr>
                  </pic:nvPicPr>
                  <pic:blipFill>
                    <a:blip r:embed="rId66"/>
                    <a:srcRect t="24" r="3771" b="8965"/>
                    <a:stretch>
                      <a:fillRect/>
                    </a:stretch>
                  </pic:blipFill>
                  <pic:spPr>
                    <a:xfrm>
                      <a:off x="0" y="0"/>
                      <a:ext cx="5922645" cy="7233285"/>
                    </a:xfrm>
                    <a:prstGeom prst="rect">
                      <a:avLst/>
                    </a:prstGeom>
                  </pic:spPr>
                </pic:pic>
              </a:graphicData>
            </a:graphic>
          </wp:anchor>
        </w:drawing>
      </w:r>
    </w:p>
    <w:p>
      <w:pPr>
        <w:rPr>
          <w:rFonts w:ascii="Times New Roman" w:hAnsi="Times New Roman" w:cs="Times New Roman"/>
          <w:b/>
          <w:color w:val="FF0000"/>
          <w:sz w:val="28"/>
          <w:szCs w:val="28"/>
          <w:shd w:val="clear" w:color="auto" w:fill="auto"/>
        </w:rPr>
      </w:pPr>
    </w:p>
    <w:p>
      <w:pPr>
        <w:rPr>
          <w:rFonts w:ascii="Times New Roman" w:hAnsi="Times New Roman" w:cs="Times New Roman"/>
          <w:b/>
          <w:color w:val="FF0000"/>
          <w:sz w:val="28"/>
          <w:szCs w:val="28"/>
          <w:shd w:val="clear" w:color="auto" w:fill="auto"/>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rPr>
          <w:rFonts w:ascii="Times New Roman" w:hAnsi="Times New Roman" w:cs="Times New Roman"/>
          <w:b/>
          <w:color w:val="auto"/>
          <w:sz w:val="28"/>
          <w:szCs w:val="28"/>
          <w:shd w:val="clear" w:color="auto" w:fill="auto"/>
        </w:rPr>
      </w:pPr>
      <w:r>
        <w:rPr>
          <w:rFonts w:ascii="Times New Roman" w:hAnsi="Times New Roman" w:cs="Times New Roman"/>
          <w:b/>
          <w:color w:val="auto"/>
          <w:sz w:val="28"/>
          <w:szCs w:val="28"/>
          <w:shd w:val="clear" w:color="auto" w:fill="auto"/>
        </w:rPr>
        <w:t>附件</w:t>
      </w:r>
      <w:r>
        <w:rPr>
          <w:rFonts w:hint="eastAsia" w:cs="Times New Roman"/>
          <w:b/>
          <w:color w:val="auto"/>
          <w:sz w:val="28"/>
          <w:szCs w:val="28"/>
          <w:shd w:val="clear" w:color="auto" w:fill="auto"/>
          <w:lang w:eastAsia="zh-CN"/>
        </w:rPr>
        <w:t>十一</w:t>
      </w:r>
      <w:r>
        <w:rPr>
          <w:rFonts w:ascii="Times New Roman" w:hAnsi="Times New Roman" w:cs="Times New Roman"/>
          <w:b/>
          <w:color w:val="auto"/>
          <w:sz w:val="28"/>
          <w:szCs w:val="28"/>
          <w:shd w:val="clear" w:color="auto" w:fill="auto"/>
        </w:rPr>
        <w:t xml:space="preserve"> 项目地理位置图</w:t>
      </w:r>
    </w:p>
    <w:p>
      <w:pPr>
        <w:rPr>
          <w:rFonts w:hint="eastAsia" w:ascii="Times New Roman" w:hAnsi="Times New Roman" w:eastAsia="宋体" w:cs="Times New Roman"/>
          <w:b/>
          <w:color w:val="FF0000"/>
          <w:sz w:val="28"/>
          <w:szCs w:val="28"/>
          <w:shd w:val="clear" w:color="auto" w:fill="auto"/>
          <w:lang w:eastAsia="zh-CN"/>
        </w:rPr>
      </w:pPr>
      <w:r>
        <w:rPr>
          <w:rFonts w:hint="eastAsia" w:ascii="Times New Roman" w:hAnsi="Times New Roman" w:eastAsia="宋体" w:cs="Times New Roman"/>
          <w:b/>
          <w:color w:val="FF0000"/>
          <w:sz w:val="28"/>
          <w:szCs w:val="28"/>
          <w:shd w:val="clear" w:color="auto" w:fill="auto"/>
          <w:lang w:eastAsia="zh-CN"/>
        </w:rPr>
        <w:drawing>
          <wp:anchor distT="0" distB="0" distL="114300" distR="114300" simplePos="0" relativeHeight="713515008" behindDoc="1" locked="0" layoutInCell="1" allowOverlap="1">
            <wp:simplePos x="0" y="0"/>
            <wp:positionH relativeFrom="column">
              <wp:posOffset>200025</wp:posOffset>
            </wp:positionH>
            <wp:positionV relativeFrom="paragraph">
              <wp:posOffset>35560</wp:posOffset>
            </wp:positionV>
            <wp:extent cx="8333740" cy="5245735"/>
            <wp:effectExtent l="0" t="0" r="10160" b="12065"/>
            <wp:wrapNone/>
            <wp:docPr id="122" name="图片 122" descr="TOFD)E~O~CRUPD}OUU@B$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TOFD)E~O~CRUPD}OUU@B$DF"/>
                    <pic:cNvPicPr>
                      <a:picLocks noChangeAspect="1"/>
                    </pic:cNvPicPr>
                  </pic:nvPicPr>
                  <pic:blipFill>
                    <a:blip r:embed="rId67"/>
                    <a:stretch>
                      <a:fillRect/>
                    </a:stretch>
                  </pic:blipFill>
                  <pic:spPr>
                    <a:xfrm>
                      <a:off x="0" y="0"/>
                      <a:ext cx="8333740" cy="5245735"/>
                    </a:xfrm>
                    <a:prstGeom prst="rect">
                      <a:avLst/>
                    </a:prstGeom>
                  </pic:spPr>
                </pic:pic>
              </a:graphicData>
            </a:graphic>
          </wp:anchor>
        </w:drawing>
      </w:r>
    </w:p>
    <w:p>
      <w:pPr>
        <w:keepNext w:val="0"/>
        <w:keepLines w:val="0"/>
        <w:widowControl/>
        <w:suppressLineNumbers w:val="0"/>
        <w:jc w:val="center"/>
        <w:rPr>
          <w:rFonts w:hint="default" w:ascii="Times New Roman" w:hAnsi="Times New Roman" w:cs="Times New Roman"/>
          <w:b/>
          <w:color w:val="FF0000"/>
          <w:sz w:val="28"/>
          <w:szCs w:val="28"/>
          <w:shd w:val="clear" w:color="auto" w:fill="auto"/>
        </w:rPr>
      </w:pPr>
      <w:r>
        <w:rPr>
          <w:color w:val="FF0000"/>
          <w:sz w:val="24"/>
        </w:rPr>
        <mc:AlternateContent>
          <mc:Choice Requires="wps">
            <w:drawing>
              <wp:anchor distT="0" distB="0" distL="114300" distR="114300" simplePos="0" relativeHeight="702164992" behindDoc="0" locked="0" layoutInCell="1" allowOverlap="1">
                <wp:simplePos x="0" y="0"/>
                <wp:positionH relativeFrom="column">
                  <wp:posOffset>4297680</wp:posOffset>
                </wp:positionH>
                <wp:positionV relativeFrom="paragraph">
                  <wp:posOffset>1888490</wp:posOffset>
                </wp:positionV>
                <wp:extent cx="1406525" cy="465455"/>
                <wp:effectExtent l="6350" t="6350" r="15875" b="213995"/>
                <wp:wrapNone/>
                <wp:docPr id="227" name=" 227"/>
                <wp:cNvGraphicFramePr/>
                <a:graphic xmlns:a="http://schemas.openxmlformats.org/drawingml/2006/main">
                  <a:graphicData uri="http://schemas.microsoft.com/office/word/2010/wordprocessingShape">
                    <wps:wsp>
                      <wps:cNvSpPr/>
                      <wps:spPr>
                        <a:xfrm>
                          <a:off x="5092700" y="2867660"/>
                          <a:ext cx="1406525" cy="465455"/>
                        </a:xfrm>
                        <a:prstGeom prst="wedgeEllipseCallout">
                          <a:avLst>
                            <a:gd name="adj1" fmla="val -34410"/>
                            <a:gd name="adj2" fmla="val 91509"/>
                          </a:avLst>
                        </a:prstGeom>
                        <a:no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eastAsia" w:eastAsia="宋体"/>
                                <w:b/>
                                <w:bCs/>
                                <w:color w:val="D9D9D9" w:themeColor="background1" w:themeShade="D9"/>
                                <w:lang w:eastAsia="zh-CN"/>
                              </w:rPr>
                            </w:pPr>
                            <w:r>
                              <w:rPr>
                                <w:rFonts w:hint="eastAsia"/>
                                <w:b/>
                                <w:bCs/>
                                <w:color w:val="D9D9D9" w:themeColor="background1" w:themeShade="D9"/>
                                <w:lang w:eastAsia="zh-CN"/>
                              </w:rPr>
                              <w:t>项目所在地</w:t>
                            </w:r>
                          </w:p>
                        </w:txbxContent>
                      </wps:txbx>
                      <wps:bodyPr anchor="ctr"/>
                    </wps:wsp>
                  </a:graphicData>
                </a:graphic>
              </wp:anchor>
            </w:drawing>
          </mc:Choice>
          <mc:Fallback>
            <w:pict>
              <v:shape id=" 227" o:spid="_x0000_s1026" o:spt="63" type="#_x0000_t63" style="position:absolute;left:0pt;margin-left:338.4pt;margin-top:148.7pt;height:36.65pt;width:110.75pt;z-index:702164992;v-text-anchor:middle;mso-width-relative:page;mso-height-relative:page;" filled="f" stroked="t" coordsize="21600,21600" o:gfxdata="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GpVZfaAAAACwEA&#10;AA8AAAAAAAAAAQAgAAAAIgAAAGRycy9kb3ducmV2LnhtbFBLAQIUABQAAAAIAIdO4kDL1eXkGAIA&#10;ABwEAAAOAAAAAAAAAAEAIAAAACkBAABkcnMvZTJvRG9jLnhtbFBLBQYAAAAABgAGAFkBAACzBQAA&#10;AAA=&#10;" adj="3367,30566">
                <v:fill on="f" focussize="0,0"/>
                <v:stroke weight="1pt" color="#A9D18E [1945]" miterlimit="8" joinstyle="miter"/>
                <v:imagedata o:title=""/>
                <o:lock v:ext="edit" aspectratio="f"/>
                <v:textbox>
                  <w:txbxContent>
                    <w:p>
                      <w:pPr>
                        <w:spacing w:line="240" w:lineRule="auto"/>
                        <w:jc w:val="center"/>
                        <w:rPr>
                          <w:rFonts w:hint="eastAsia" w:eastAsia="宋体"/>
                          <w:b/>
                          <w:bCs/>
                          <w:color w:val="D9D9D9" w:themeColor="background1" w:themeShade="D9"/>
                          <w:lang w:eastAsia="zh-CN"/>
                        </w:rPr>
                      </w:pPr>
                      <w:r>
                        <w:rPr>
                          <w:rFonts w:hint="eastAsia"/>
                          <w:b/>
                          <w:bCs/>
                          <w:color w:val="D9D9D9" w:themeColor="background1" w:themeShade="D9"/>
                          <w:lang w:eastAsia="zh-CN"/>
                        </w:rPr>
                        <w:t>项目所在地</w:t>
                      </w:r>
                    </w:p>
                  </w:txbxContent>
                </v:textbox>
              </v:shape>
            </w:pict>
          </mc:Fallback>
        </mc:AlternateContent>
      </w:r>
    </w:p>
    <w:p>
      <w:pPr>
        <w:rPr>
          <w:rFonts w:hint="default" w:ascii="Times New Roman" w:hAnsi="Times New Roman" w:cs="Times New Roman"/>
          <w:b/>
          <w:color w:val="FF0000"/>
          <w:sz w:val="28"/>
          <w:szCs w:val="28"/>
          <w:shd w:val="clear" w:color="auto" w:fill="auto"/>
        </w:rPr>
        <w:sectPr>
          <w:pgSz w:w="16838" w:h="11906" w:orient="landscape"/>
          <w:pgMar w:top="1803" w:right="1440" w:bottom="1803" w:left="1440"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rPr>
          <w:rFonts w:hint="default" w:ascii="Times New Roman" w:hAnsi="Times New Roman" w:cs="Times New Roman"/>
          <w:b/>
          <w:color w:val="auto"/>
          <w:sz w:val="28"/>
          <w:szCs w:val="28"/>
          <w:shd w:val="clear" w:color="auto" w:fill="auto"/>
        </w:rPr>
      </w:pPr>
      <w:r>
        <w:rPr>
          <w:rFonts w:hint="default" w:ascii="Times New Roman" w:hAnsi="Times New Roman" w:cs="Times New Roman"/>
          <w:b/>
          <w:color w:val="auto"/>
          <w:sz w:val="28"/>
          <w:szCs w:val="28"/>
          <w:shd w:val="clear" w:color="auto" w:fill="auto"/>
        </w:rPr>
        <w:t>附件</w:t>
      </w:r>
      <w:r>
        <w:rPr>
          <w:rFonts w:hint="eastAsia" w:cs="Times New Roman"/>
          <w:b/>
          <w:color w:val="auto"/>
          <w:sz w:val="28"/>
          <w:szCs w:val="28"/>
          <w:shd w:val="clear" w:color="auto" w:fill="auto"/>
          <w:lang w:eastAsia="zh-CN"/>
        </w:rPr>
        <w:t>十二</w:t>
      </w:r>
      <w:r>
        <w:rPr>
          <w:rFonts w:hint="default" w:ascii="Times New Roman" w:hAnsi="Times New Roman" w:cs="Times New Roman"/>
          <w:b/>
          <w:color w:val="auto"/>
          <w:sz w:val="28"/>
          <w:szCs w:val="28"/>
          <w:shd w:val="clear" w:color="auto" w:fill="auto"/>
        </w:rPr>
        <w:t xml:space="preserve"> </w:t>
      </w:r>
      <w:r>
        <w:rPr>
          <w:rFonts w:hint="eastAsia" w:cs="Times New Roman"/>
          <w:b/>
          <w:color w:val="auto"/>
          <w:sz w:val="28"/>
          <w:szCs w:val="28"/>
          <w:shd w:val="clear" w:color="auto" w:fill="auto"/>
          <w:lang w:eastAsia="zh-CN"/>
        </w:rPr>
        <w:t>地表作业区</w:t>
      </w:r>
      <w:r>
        <w:rPr>
          <w:rFonts w:hint="eastAsia" w:cs="Times New Roman"/>
          <w:b/>
          <w:color w:val="auto"/>
          <w:sz w:val="28"/>
          <w:szCs w:val="28"/>
          <w:shd w:val="clear" w:color="auto" w:fill="auto"/>
          <w:lang w:val="en-US" w:eastAsia="zh-CN"/>
        </w:rPr>
        <w:t>平面布置图</w:t>
      </w:r>
    </w:p>
    <w:p>
      <w:pPr>
        <w:pStyle w:val="2"/>
        <w:rPr>
          <w:rFonts w:hint="eastAsia" w:eastAsia="宋体"/>
          <w:b/>
          <w:bCs/>
          <w:color w:val="FF0000"/>
          <w:sz w:val="28"/>
          <w:szCs w:val="28"/>
          <w:shd w:val="clear" w:color="auto" w:fill="auto"/>
          <w:lang w:eastAsia="zh-CN"/>
        </w:rPr>
      </w:pPr>
      <w:r>
        <w:rPr>
          <w:rFonts w:hint="eastAsia" w:eastAsia="宋体"/>
          <w:b/>
          <w:bCs/>
          <w:color w:val="FF0000"/>
          <w:sz w:val="28"/>
          <w:szCs w:val="28"/>
          <w:shd w:val="clear" w:color="auto" w:fill="auto"/>
          <w:lang w:eastAsia="zh-CN"/>
        </w:rPr>
        <w:drawing>
          <wp:inline distT="0" distB="0" distL="114300" distR="114300">
            <wp:extent cx="5633720" cy="4418330"/>
            <wp:effectExtent l="0" t="0" r="5080" b="1270"/>
            <wp:docPr id="143" name="图片 143" descr="平面布置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平面布置T"/>
                    <pic:cNvPicPr>
                      <a:picLocks noChangeAspect="1"/>
                    </pic:cNvPicPr>
                  </pic:nvPicPr>
                  <pic:blipFill>
                    <a:blip r:embed="rId14"/>
                    <a:srcRect l="4366"/>
                    <a:stretch>
                      <a:fillRect/>
                    </a:stretch>
                  </pic:blipFill>
                  <pic:spPr>
                    <a:xfrm>
                      <a:off x="0" y="0"/>
                      <a:ext cx="5633720" cy="4418330"/>
                    </a:xfrm>
                    <a:prstGeom prst="rect">
                      <a:avLst/>
                    </a:prstGeom>
                  </pic:spPr>
                </pic:pic>
              </a:graphicData>
            </a:graphic>
          </wp:inline>
        </w:drawing>
      </w:r>
    </w:p>
    <w:p>
      <w:pPr>
        <w:pStyle w:val="2"/>
        <w:rPr>
          <w:rFonts w:hint="eastAsia" w:eastAsia="宋体"/>
          <w:b/>
          <w:bCs/>
          <w:color w:val="FF0000"/>
          <w:sz w:val="28"/>
          <w:szCs w:val="28"/>
          <w:shd w:val="clear" w:color="auto" w:fill="auto"/>
          <w:lang w:eastAsia="zh-CN"/>
        </w:rPr>
      </w:pPr>
    </w:p>
    <w:p>
      <w:pPr>
        <w:pStyle w:val="2"/>
        <w:rPr>
          <w:rFonts w:hint="eastAsia" w:eastAsia="宋体"/>
          <w:b/>
          <w:bCs/>
          <w:color w:val="FF0000"/>
          <w:sz w:val="28"/>
          <w:szCs w:val="28"/>
          <w:shd w:val="clear" w:color="auto" w:fill="auto"/>
          <w:lang w:eastAsia="zh-CN"/>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keepNext w:val="0"/>
        <w:keepLines w:val="0"/>
        <w:widowControl/>
        <w:suppressLineNumbers w:val="0"/>
        <w:jc w:val="both"/>
        <w:rPr>
          <w:rFonts w:hint="eastAsia" w:ascii="Times New Roman" w:hAnsi="Times New Roman" w:eastAsia="宋体" w:cs="Times New Roman"/>
          <w:b/>
          <w:color w:val="auto"/>
          <w:sz w:val="28"/>
          <w:szCs w:val="28"/>
          <w:shd w:val="clear" w:color="auto" w:fill="auto"/>
          <w:lang w:eastAsia="zh-CN"/>
        </w:rPr>
      </w:pPr>
      <w:r>
        <w:rPr>
          <w:rFonts w:hint="default" w:ascii="Times New Roman" w:hAnsi="Times New Roman" w:cs="Times New Roman"/>
          <w:b/>
          <w:bCs/>
          <w:color w:val="auto"/>
          <w:kern w:val="0"/>
          <w:sz w:val="28"/>
          <w:szCs w:val="28"/>
          <w:lang w:val="en-US" w:eastAsia="zh-CN" w:bidi="ar"/>
        </w:rPr>
        <w:t>附件</w:t>
      </w:r>
      <w:r>
        <w:rPr>
          <w:rFonts w:hint="eastAsia" w:cs="Times New Roman"/>
          <w:b/>
          <w:bCs/>
          <w:color w:val="auto"/>
          <w:kern w:val="0"/>
          <w:sz w:val="28"/>
          <w:szCs w:val="28"/>
          <w:lang w:val="en-US" w:eastAsia="zh-CN" w:bidi="ar"/>
        </w:rPr>
        <w:t>十三</w:t>
      </w:r>
      <w:r>
        <w:rPr>
          <w:rFonts w:hint="default" w:ascii="Times New Roman" w:hAnsi="Times New Roman" w:cs="Times New Roman"/>
          <w:b/>
          <w:bCs/>
          <w:color w:val="auto"/>
          <w:kern w:val="0"/>
          <w:sz w:val="28"/>
          <w:szCs w:val="28"/>
          <w:lang w:val="en-US" w:eastAsia="zh-CN" w:bidi="ar"/>
        </w:rPr>
        <w:t xml:space="preserve"> </w:t>
      </w:r>
      <w:bookmarkStart w:id="469" w:name="page1"/>
      <w:bookmarkEnd w:id="469"/>
      <w:r>
        <w:rPr>
          <w:rFonts w:hint="eastAsia" w:ascii="宋体" w:hAnsi="宋体" w:cs="宋体"/>
          <w:b/>
          <w:bCs/>
          <w:color w:val="auto"/>
          <w:kern w:val="0"/>
          <w:sz w:val="28"/>
          <w:szCs w:val="28"/>
          <w:lang w:val="en-US" w:eastAsia="zh-CN" w:bidi="ar"/>
        </w:rPr>
        <w:t>工况证明</w:t>
      </w:r>
    </w:p>
    <w:p>
      <w:pPr>
        <w:jc w:val="both"/>
        <w:rPr>
          <w:rFonts w:hint="eastAsia" w:ascii="Times New Roman" w:hAnsi="Times New Roman" w:eastAsia="宋体" w:cs="Times New Roman"/>
          <w:b/>
          <w:color w:val="FF0000"/>
          <w:sz w:val="28"/>
          <w:szCs w:val="28"/>
          <w:shd w:val="clear" w:color="auto" w:fill="auto"/>
          <w:lang w:eastAsia="zh-CN"/>
        </w:rPr>
      </w:pPr>
      <w:r>
        <w:rPr>
          <w:rFonts w:hint="eastAsia" w:ascii="Times New Roman" w:hAnsi="Times New Roman" w:eastAsia="宋体" w:cs="Times New Roman"/>
          <w:b/>
          <w:color w:val="FF0000"/>
          <w:sz w:val="28"/>
          <w:szCs w:val="28"/>
          <w:shd w:val="clear" w:color="auto" w:fill="auto"/>
          <w:lang w:eastAsia="zh-CN"/>
        </w:rPr>
        <w:drawing>
          <wp:anchor distT="0" distB="0" distL="114300" distR="114300" simplePos="0" relativeHeight="189457408" behindDoc="0" locked="0" layoutInCell="1" allowOverlap="1">
            <wp:simplePos x="0" y="0"/>
            <wp:positionH relativeFrom="column">
              <wp:posOffset>-166370</wp:posOffset>
            </wp:positionH>
            <wp:positionV relativeFrom="paragraph">
              <wp:posOffset>112395</wp:posOffset>
            </wp:positionV>
            <wp:extent cx="5734685" cy="7697470"/>
            <wp:effectExtent l="0" t="0" r="18415" b="17780"/>
            <wp:wrapSquare wrapText="bothSides"/>
            <wp:docPr id="124" name="图片 124" descr="工况证明扫描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工况证明扫描件"/>
                    <pic:cNvPicPr>
                      <a:picLocks noChangeAspect="1"/>
                    </pic:cNvPicPr>
                  </pic:nvPicPr>
                  <pic:blipFill>
                    <a:blip r:embed="rId68"/>
                    <a:srcRect r="3792"/>
                    <a:stretch>
                      <a:fillRect/>
                    </a:stretch>
                  </pic:blipFill>
                  <pic:spPr>
                    <a:xfrm>
                      <a:off x="0" y="0"/>
                      <a:ext cx="5734685" cy="7697470"/>
                    </a:xfrm>
                    <a:prstGeom prst="rect">
                      <a:avLst/>
                    </a:prstGeom>
                  </pic:spPr>
                </pic:pic>
              </a:graphicData>
            </a:graphic>
          </wp:anchor>
        </w:drawing>
      </w:r>
    </w:p>
    <w:p>
      <w:pPr>
        <w:pStyle w:val="2"/>
        <w:rPr>
          <w:rFonts w:hint="eastAsia"/>
          <w:color w:val="FF0000"/>
          <w:lang w:eastAsia="zh-CN"/>
        </w:rPr>
      </w:pPr>
    </w:p>
    <w:p>
      <w:pPr>
        <w:keepNext w:val="0"/>
        <w:keepLines w:val="0"/>
        <w:widowControl/>
        <w:suppressLineNumbers w:val="0"/>
        <w:jc w:val="both"/>
        <w:rPr>
          <w:rFonts w:hint="eastAsia" w:ascii="Times New Roman" w:hAnsi="Times New Roman" w:cs="Times New Roman"/>
          <w:b/>
          <w:bCs/>
          <w:color w:val="FF0000"/>
          <w:kern w:val="0"/>
          <w:sz w:val="28"/>
          <w:szCs w:val="28"/>
          <w:lang w:val="en-US" w:eastAsia="zh-CN" w:bidi="ar"/>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keepNext w:val="0"/>
        <w:keepLines w:val="0"/>
        <w:widowControl/>
        <w:suppressLineNumbers w:val="0"/>
        <w:jc w:val="both"/>
        <w:rPr>
          <w:rFonts w:hint="eastAsia" w:cs="Times New Roman"/>
          <w:b/>
          <w:bCs/>
          <w:color w:val="auto"/>
          <w:kern w:val="0"/>
          <w:sz w:val="28"/>
          <w:szCs w:val="28"/>
          <w:lang w:val="en-US" w:eastAsia="zh-CN" w:bidi="ar"/>
        </w:rPr>
      </w:pPr>
      <w:r>
        <w:rPr>
          <w:rFonts w:hint="eastAsia" w:ascii="Times New Roman" w:hAnsi="Times New Roman" w:cs="Times New Roman"/>
          <w:b/>
          <w:bCs/>
          <w:color w:val="auto"/>
          <w:kern w:val="0"/>
          <w:sz w:val="28"/>
          <w:szCs w:val="28"/>
          <w:lang w:val="en-US" w:eastAsia="zh-CN" w:bidi="ar"/>
        </w:rPr>
        <w:t>附件</w:t>
      </w:r>
      <w:r>
        <w:rPr>
          <w:rFonts w:hint="eastAsia" w:cs="Times New Roman"/>
          <w:b/>
          <w:bCs/>
          <w:color w:val="auto"/>
          <w:kern w:val="0"/>
          <w:sz w:val="28"/>
          <w:szCs w:val="28"/>
          <w:lang w:val="en-US" w:eastAsia="zh-CN" w:bidi="ar"/>
        </w:rPr>
        <w:t>十四 公众参与样表</w:t>
      </w:r>
    </w:p>
    <w:p>
      <w:pPr>
        <w:keepNext w:val="0"/>
        <w:keepLines w:val="0"/>
        <w:widowControl/>
        <w:suppressLineNumbers w:val="0"/>
        <w:jc w:val="both"/>
        <w:rPr>
          <w:rFonts w:hint="eastAsia" w:cs="Times New Roman"/>
          <w:b/>
          <w:bCs/>
          <w:color w:val="FF0000"/>
          <w:kern w:val="0"/>
          <w:sz w:val="28"/>
          <w:szCs w:val="28"/>
          <w:lang w:val="en-US" w:eastAsia="zh-CN" w:bidi="ar"/>
        </w:rPr>
      </w:pPr>
      <w:r>
        <w:rPr>
          <w:rFonts w:hint="eastAsia" w:cs="Times New Roman"/>
          <w:b/>
          <w:bCs/>
          <w:color w:val="FF0000"/>
          <w:kern w:val="0"/>
          <w:sz w:val="28"/>
          <w:szCs w:val="28"/>
          <w:lang w:val="en-US" w:eastAsia="zh-CN" w:bidi="ar"/>
        </w:rPr>
        <w:drawing>
          <wp:inline distT="0" distB="0" distL="114300" distR="114300">
            <wp:extent cx="5267960" cy="8247380"/>
            <wp:effectExtent l="0" t="0" r="8890" b="1270"/>
            <wp:docPr id="125" name="图片 125" descr="IMG_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IMG_4815"/>
                    <pic:cNvPicPr>
                      <a:picLocks noChangeAspect="1"/>
                    </pic:cNvPicPr>
                  </pic:nvPicPr>
                  <pic:blipFill>
                    <a:blip r:embed="rId69"/>
                    <a:srcRect t="2398" b="4083"/>
                    <a:stretch>
                      <a:fillRect/>
                    </a:stretch>
                  </pic:blipFill>
                  <pic:spPr>
                    <a:xfrm>
                      <a:off x="0" y="0"/>
                      <a:ext cx="5267960" cy="8247380"/>
                    </a:xfrm>
                    <a:prstGeom prst="rect">
                      <a:avLst/>
                    </a:prstGeom>
                  </pic:spPr>
                </pic:pic>
              </a:graphicData>
            </a:graphic>
          </wp:inline>
        </w:drawing>
      </w:r>
    </w:p>
    <w:p>
      <w:pPr>
        <w:keepNext w:val="0"/>
        <w:keepLines w:val="0"/>
        <w:widowControl/>
        <w:suppressLineNumbers w:val="0"/>
        <w:jc w:val="both"/>
        <w:rPr>
          <w:rFonts w:ascii="宋体" w:hAnsi="宋体" w:eastAsia="宋体" w:cs="宋体"/>
          <w:color w:val="FF0000"/>
          <w:kern w:val="0"/>
          <w:sz w:val="24"/>
          <w:szCs w:val="24"/>
          <w:lang w:val="en-US" w:eastAsia="zh-CN" w:bidi="ar"/>
        </w:rPr>
      </w:pPr>
      <w:r>
        <w:rPr>
          <w:rFonts w:ascii="宋体" w:hAnsi="宋体" w:eastAsia="宋体" w:cs="宋体"/>
          <w:color w:val="FF0000"/>
          <w:kern w:val="0"/>
          <w:sz w:val="24"/>
          <w:szCs w:val="24"/>
          <w:lang w:val="en-US" w:eastAsia="zh-CN" w:bidi="ar"/>
        </w:rPr>
        <w:drawing>
          <wp:inline distT="0" distB="0" distL="114300" distR="114300">
            <wp:extent cx="5264150" cy="8620125"/>
            <wp:effectExtent l="0" t="0" r="12700" b="9525"/>
            <wp:docPr id="126" name="图片 126" descr="IMG_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IMG_4816"/>
                    <pic:cNvPicPr>
                      <a:picLocks noChangeAspect="1"/>
                    </pic:cNvPicPr>
                  </pic:nvPicPr>
                  <pic:blipFill>
                    <a:blip r:embed="rId70"/>
                    <a:stretch>
                      <a:fillRect/>
                    </a:stretch>
                  </pic:blipFill>
                  <pic:spPr>
                    <a:xfrm>
                      <a:off x="0" y="0"/>
                      <a:ext cx="5264150" cy="8620125"/>
                    </a:xfrm>
                    <a:prstGeom prst="rect">
                      <a:avLst/>
                    </a:prstGeom>
                  </pic:spPr>
                </pic:pic>
              </a:graphicData>
            </a:graphic>
          </wp:inline>
        </w:drawing>
      </w:r>
    </w:p>
    <w:p>
      <w:pPr>
        <w:keepNext w:val="0"/>
        <w:keepLines w:val="0"/>
        <w:widowControl/>
        <w:suppressLineNumbers w:val="0"/>
        <w:jc w:val="both"/>
        <w:rPr>
          <w:rFonts w:hint="eastAsia" w:ascii="宋体" w:hAnsi="宋体" w:cs="宋体"/>
          <w:b/>
          <w:bCs/>
          <w:color w:val="auto"/>
          <w:kern w:val="0"/>
          <w:sz w:val="28"/>
          <w:szCs w:val="28"/>
          <w:lang w:val="en-US" w:eastAsia="zh-CN" w:bidi="ar"/>
        </w:rPr>
      </w:pPr>
      <w:r>
        <w:rPr>
          <w:rFonts w:hint="eastAsia" w:ascii="宋体" w:hAnsi="宋体" w:cs="宋体"/>
          <w:b/>
          <w:bCs/>
          <w:color w:val="auto"/>
          <w:kern w:val="0"/>
          <w:sz w:val="28"/>
          <w:szCs w:val="28"/>
          <w:lang w:val="en-US" w:eastAsia="zh-CN" w:bidi="ar"/>
        </w:rPr>
        <w:t>附件十五 大气采样仪器检定证书</w:t>
      </w:r>
    </w:p>
    <w:p>
      <w:pPr>
        <w:keepNext w:val="0"/>
        <w:keepLines w:val="0"/>
        <w:widowControl/>
        <w:suppressLineNumbers w:val="0"/>
        <w:jc w:val="both"/>
        <w:rPr>
          <w:rFonts w:hint="eastAsia" w:ascii="宋体" w:hAnsi="宋体" w:cs="宋体"/>
          <w:b/>
          <w:bCs/>
          <w:color w:val="auto"/>
          <w:kern w:val="0"/>
          <w:sz w:val="28"/>
          <w:szCs w:val="28"/>
          <w:lang w:val="en-US" w:eastAsia="zh-CN" w:bidi="ar"/>
        </w:rPr>
      </w:pPr>
      <w:r>
        <w:rPr>
          <w:rFonts w:hint="eastAsia" w:ascii="宋体" w:hAnsi="宋体" w:cs="宋体"/>
          <w:b/>
          <w:bCs/>
          <w:color w:val="auto"/>
          <w:kern w:val="0"/>
          <w:sz w:val="28"/>
          <w:szCs w:val="28"/>
          <w:lang w:val="en-US" w:eastAsia="zh-CN" w:bidi="ar"/>
        </w:rPr>
        <w:drawing>
          <wp:anchor distT="0" distB="0" distL="114300" distR="114300" simplePos="0" relativeHeight="2074907648" behindDoc="0" locked="0" layoutInCell="1" allowOverlap="1">
            <wp:simplePos x="0" y="0"/>
            <wp:positionH relativeFrom="column">
              <wp:posOffset>-89535</wp:posOffset>
            </wp:positionH>
            <wp:positionV relativeFrom="paragraph">
              <wp:posOffset>132080</wp:posOffset>
            </wp:positionV>
            <wp:extent cx="5440045" cy="7694930"/>
            <wp:effectExtent l="0" t="0" r="8255" b="1270"/>
            <wp:wrapSquare wrapText="bothSides"/>
            <wp:docPr id="127" name="图片 127" descr="中流量智能TSP采样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中流量智能TSP采样器-1"/>
                    <pic:cNvPicPr>
                      <a:picLocks noChangeAspect="1"/>
                    </pic:cNvPicPr>
                  </pic:nvPicPr>
                  <pic:blipFill>
                    <a:blip r:embed="rId71"/>
                    <a:stretch>
                      <a:fillRect/>
                    </a:stretch>
                  </pic:blipFill>
                  <pic:spPr>
                    <a:xfrm>
                      <a:off x="0" y="0"/>
                      <a:ext cx="5440045" cy="7694930"/>
                    </a:xfrm>
                    <a:prstGeom prst="rect">
                      <a:avLst/>
                    </a:prstGeom>
                  </pic:spPr>
                </pic:pic>
              </a:graphicData>
            </a:graphic>
          </wp:anchor>
        </w:drawing>
      </w:r>
    </w:p>
    <w:p>
      <w:pPr>
        <w:keepNext w:val="0"/>
        <w:keepLines w:val="0"/>
        <w:widowControl/>
        <w:suppressLineNumbers w:val="0"/>
        <w:jc w:val="both"/>
        <w:rPr>
          <w:rFonts w:hint="eastAsia" w:ascii="宋体" w:hAnsi="宋体" w:cs="宋体"/>
          <w:b/>
          <w:bCs/>
          <w:color w:val="auto"/>
          <w:kern w:val="0"/>
          <w:sz w:val="28"/>
          <w:szCs w:val="28"/>
          <w:lang w:val="en-US" w:eastAsia="zh-CN" w:bidi="ar"/>
        </w:rPr>
      </w:pPr>
      <w:r>
        <w:rPr>
          <w:rFonts w:hint="eastAsia" w:ascii="宋体" w:hAnsi="宋体" w:cs="宋体"/>
          <w:b/>
          <w:bCs/>
          <w:color w:val="auto"/>
          <w:kern w:val="0"/>
          <w:sz w:val="28"/>
          <w:szCs w:val="28"/>
          <w:lang w:val="en-US" w:eastAsia="zh-CN" w:bidi="ar"/>
        </w:rPr>
        <w:drawing>
          <wp:anchor distT="0" distB="0" distL="114300" distR="114300" simplePos="0" relativeHeight="2074908672" behindDoc="0" locked="0" layoutInCell="1" allowOverlap="1">
            <wp:simplePos x="0" y="0"/>
            <wp:positionH relativeFrom="column">
              <wp:posOffset>-190500</wp:posOffset>
            </wp:positionH>
            <wp:positionV relativeFrom="paragraph">
              <wp:posOffset>157480</wp:posOffset>
            </wp:positionV>
            <wp:extent cx="5645150" cy="7984490"/>
            <wp:effectExtent l="0" t="0" r="12700" b="16510"/>
            <wp:wrapSquare wrapText="bothSides"/>
            <wp:docPr id="128" name="图片 128" descr="中流量智能TSP采样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中流量智能TSP采样器-2"/>
                    <pic:cNvPicPr>
                      <a:picLocks noChangeAspect="1"/>
                    </pic:cNvPicPr>
                  </pic:nvPicPr>
                  <pic:blipFill>
                    <a:blip r:embed="rId72"/>
                    <a:stretch>
                      <a:fillRect/>
                    </a:stretch>
                  </pic:blipFill>
                  <pic:spPr>
                    <a:xfrm>
                      <a:off x="0" y="0"/>
                      <a:ext cx="5645150" cy="7984490"/>
                    </a:xfrm>
                    <a:prstGeom prst="rect">
                      <a:avLst/>
                    </a:prstGeom>
                  </pic:spPr>
                </pic:pic>
              </a:graphicData>
            </a:graphic>
          </wp:anchor>
        </w:drawing>
      </w:r>
    </w:p>
    <w:p>
      <w:pPr>
        <w:keepNext w:val="0"/>
        <w:keepLines w:val="0"/>
        <w:widowControl/>
        <w:suppressLineNumbers w:val="0"/>
        <w:jc w:val="both"/>
        <w:rPr>
          <w:rFonts w:hint="eastAsia" w:ascii="宋体" w:hAnsi="宋体" w:cs="宋体"/>
          <w:b/>
          <w:bCs/>
          <w:color w:val="auto"/>
          <w:kern w:val="0"/>
          <w:sz w:val="28"/>
          <w:szCs w:val="28"/>
          <w:lang w:val="en-US" w:eastAsia="zh-CN" w:bidi="ar"/>
        </w:rPr>
      </w:pPr>
      <w:r>
        <w:rPr>
          <w:rFonts w:hint="eastAsia" w:ascii="宋体" w:hAnsi="宋体" w:cs="宋体"/>
          <w:b/>
          <w:bCs/>
          <w:color w:val="auto"/>
          <w:kern w:val="0"/>
          <w:sz w:val="28"/>
          <w:szCs w:val="28"/>
          <w:lang w:val="en-US" w:eastAsia="zh-CN" w:bidi="ar"/>
        </w:rPr>
        <w:drawing>
          <wp:inline distT="0" distB="0" distL="114300" distR="114300">
            <wp:extent cx="5268595" cy="7451725"/>
            <wp:effectExtent l="0" t="0" r="8255" b="15875"/>
            <wp:docPr id="129" name="图片 129" descr="环境空气颗粒物综合采样器（大气采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环境空气颗粒物综合采样器（大气采样）-1"/>
                    <pic:cNvPicPr>
                      <a:picLocks noChangeAspect="1"/>
                    </pic:cNvPicPr>
                  </pic:nvPicPr>
                  <pic:blipFill>
                    <a:blip r:embed="rId73"/>
                    <a:stretch>
                      <a:fillRect/>
                    </a:stretch>
                  </pic:blipFill>
                  <pic:spPr>
                    <a:xfrm>
                      <a:off x="0" y="0"/>
                      <a:ext cx="5268595" cy="7451725"/>
                    </a:xfrm>
                    <a:prstGeom prst="rect">
                      <a:avLst/>
                    </a:prstGeom>
                  </pic:spPr>
                </pic:pic>
              </a:graphicData>
            </a:graphic>
          </wp:inline>
        </w:drawing>
      </w:r>
    </w:p>
    <w:p>
      <w:pPr>
        <w:keepNext w:val="0"/>
        <w:keepLines w:val="0"/>
        <w:widowControl/>
        <w:suppressLineNumbers w:val="0"/>
        <w:jc w:val="both"/>
        <w:rPr>
          <w:rFonts w:hint="eastAsia" w:ascii="宋体" w:hAnsi="宋体" w:cs="宋体"/>
          <w:b/>
          <w:bCs/>
          <w:color w:val="auto"/>
          <w:kern w:val="0"/>
          <w:sz w:val="28"/>
          <w:szCs w:val="28"/>
          <w:lang w:val="en-US" w:eastAsia="zh-CN" w:bidi="ar"/>
        </w:rPr>
      </w:pPr>
      <w:r>
        <w:rPr>
          <w:rFonts w:hint="eastAsia" w:ascii="宋体" w:hAnsi="宋体" w:cs="宋体"/>
          <w:b/>
          <w:bCs/>
          <w:color w:val="auto"/>
          <w:kern w:val="0"/>
          <w:sz w:val="28"/>
          <w:szCs w:val="28"/>
          <w:lang w:val="en-US" w:eastAsia="zh-CN" w:bidi="ar"/>
        </w:rPr>
        <w:drawing>
          <wp:inline distT="0" distB="0" distL="114300" distR="114300">
            <wp:extent cx="5611495" cy="7937500"/>
            <wp:effectExtent l="0" t="0" r="8255" b="6350"/>
            <wp:docPr id="130" name="图片 130" descr="环境空气颗粒物综合采样器（大气采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环境空气颗粒物综合采样器（大气采样）-2"/>
                    <pic:cNvPicPr>
                      <a:picLocks noChangeAspect="1"/>
                    </pic:cNvPicPr>
                  </pic:nvPicPr>
                  <pic:blipFill>
                    <a:blip r:embed="rId74"/>
                    <a:stretch>
                      <a:fillRect/>
                    </a:stretch>
                  </pic:blipFill>
                  <pic:spPr>
                    <a:xfrm>
                      <a:off x="0" y="0"/>
                      <a:ext cx="5611495" cy="7937500"/>
                    </a:xfrm>
                    <a:prstGeom prst="rect">
                      <a:avLst/>
                    </a:prstGeom>
                  </pic:spPr>
                </pic:pic>
              </a:graphicData>
            </a:graphic>
          </wp:inline>
        </w:drawing>
      </w:r>
    </w:p>
    <w:p>
      <w:pPr>
        <w:keepNext w:val="0"/>
        <w:keepLines w:val="0"/>
        <w:widowControl/>
        <w:suppressLineNumbers w:val="0"/>
        <w:jc w:val="both"/>
        <w:rPr>
          <w:rFonts w:hint="eastAsia" w:ascii="宋体" w:hAnsi="宋体" w:cs="宋体"/>
          <w:b/>
          <w:bCs/>
          <w:color w:val="auto"/>
          <w:kern w:val="0"/>
          <w:sz w:val="28"/>
          <w:szCs w:val="28"/>
          <w:lang w:val="en-US" w:eastAsia="zh-CN" w:bidi="ar"/>
        </w:rPr>
      </w:pPr>
    </w:p>
    <w:p>
      <w:pPr>
        <w:keepNext w:val="0"/>
        <w:keepLines w:val="0"/>
        <w:widowControl/>
        <w:suppressLineNumbers w:val="0"/>
        <w:jc w:val="both"/>
        <w:rPr>
          <w:rFonts w:hint="eastAsia" w:ascii="宋体" w:hAnsi="宋体" w:cs="宋体"/>
          <w:b/>
          <w:bCs/>
          <w:color w:val="auto"/>
          <w:kern w:val="0"/>
          <w:sz w:val="28"/>
          <w:szCs w:val="28"/>
          <w:lang w:val="en-US" w:eastAsia="zh-CN" w:bidi="ar"/>
        </w:rPr>
      </w:pPr>
    </w:p>
    <w:p>
      <w:pPr>
        <w:keepNext w:val="0"/>
        <w:keepLines w:val="0"/>
        <w:widowControl/>
        <w:suppressLineNumbers w:val="0"/>
        <w:jc w:val="both"/>
        <w:rPr>
          <w:rFonts w:hint="eastAsia" w:ascii="宋体" w:hAnsi="宋体" w:cs="宋体"/>
          <w:b/>
          <w:bCs/>
          <w:color w:val="auto"/>
          <w:kern w:val="0"/>
          <w:sz w:val="28"/>
          <w:szCs w:val="28"/>
          <w:lang w:val="en-US" w:eastAsia="zh-CN" w:bidi="ar"/>
        </w:rPr>
      </w:pPr>
      <w:r>
        <w:rPr>
          <w:rFonts w:hint="eastAsia" w:ascii="宋体" w:hAnsi="宋体" w:cs="宋体"/>
          <w:b/>
          <w:bCs/>
          <w:color w:val="auto"/>
          <w:kern w:val="0"/>
          <w:sz w:val="28"/>
          <w:szCs w:val="28"/>
          <w:lang w:val="en-US" w:eastAsia="zh-CN" w:bidi="ar"/>
        </w:rPr>
        <w:drawing>
          <wp:anchor distT="0" distB="0" distL="114300" distR="114300" simplePos="0" relativeHeight="2074910720" behindDoc="0" locked="0" layoutInCell="1" allowOverlap="1">
            <wp:simplePos x="0" y="0"/>
            <wp:positionH relativeFrom="column">
              <wp:posOffset>-177165</wp:posOffset>
            </wp:positionH>
            <wp:positionV relativeFrom="paragraph">
              <wp:posOffset>144145</wp:posOffset>
            </wp:positionV>
            <wp:extent cx="5794375" cy="8195310"/>
            <wp:effectExtent l="0" t="0" r="15875" b="15240"/>
            <wp:wrapSquare wrapText="bothSides"/>
            <wp:docPr id="131" name="图片 131" descr="环境空气颗粒物综合采样器（大气采样）-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环境空气颗粒物综合采样器（大气采样）-3"/>
                    <pic:cNvPicPr>
                      <a:picLocks noChangeAspect="1"/>
                    </pic:cNvPicPr>
                  </pic:nvPicPr>
                  <pic:blipFill>
                    <a:blip r:embed="rId75"/>
                    <a:stretch>
                      <a:fillRect/>
                    </a:stretch>
                  </pic:blipFill>
                  <pic:spPr>
                    <a:xfrm>
                      <a:off x="0" y="0"/>
                      <a:ext cx="5794375" cy="8195310"/>
                    </a:xfrm>
                    <a:prstGeom prst="rect">
                      <a:avLst/>
                    </a:prstGeom>
                  </pic:spPr>
                </pic:pic>
              </a:graphicData>
            </a:graphic>
          </wp:anchor>
        </w:drawing>
      </w:r>
    </w:p>
    <w:p>
      <w:pPr>
        <w:keepNext w:val="0"/>
        <w:keepLines w:val="0"/>
        <w:widowControl/>
        <w:suppressLineNumbers w:val="0"/>
        <w:jc w:val="both"/>
        <w:rPr>
          <w:rFonts w:hint="eastAsia" w:ascii="宋体" w:hAnsi="宋体" w:cs="宋体"/>
          <w:b/>
          <w:bCs/>
          <w:color w:val="auto"/>
          <w:kern w:val="0"/>
          <w:sz w:val="28"/>
          <w:szCs w:val="28"/>
          <w:lang w:val="en-US" w:eastAsia="zh-CN" w:bidi="ar"/>
        </w:rPr>
      </w:pPr>
      <w:r>
        <w:rPr>
          <w:rFonts w:hint="eastAsia" w:ascii="宋体" w:hAnsi="宋体" w:cs="宋体"/>
          <w:b/>
          <w:bCs/>
          <w:color w:val="auto"/>
          <w:kern w:val="0"/>
          <w:sz w:val="28"/>
          <w:szCs w:val="28"/>
          <w:lang w:val="en-US" w:eastAsia="zh-CN" w:bidi="ar"/>
        </w:rPr>
        <w:t>附件十六 原矿加工合同</w:t>
      </w:r>
    </w:p>
    <w:p>
      <w:pPr>
        <w:pStyle w:val="18"/>
        <w:rPr>
          <w:rFonts w:hint="eastAsia"/>
          <w:lang w:val="en-US" w:eastAsia="zh-CN"/>
        </w:rPr>
      </w:pPr>
      <w:r>
        <w:rPr>
          <w:rFonts w:hint="eastAsia"/>
          <w:lang w:val="en-US" w:eastAsia="zh-CN"/>
        </w:rPr>
        <w:drawing>
          <wp:anchor distT="0" distB="0" distL="114300" distR="114300" simplePos="0" relativeHeight="2074911744" behindDoc="0" locked="0" layoutInCell="1" allowOverlap="1">
            <wp:simplePos x="0" y="0"/>
            <wp:positionH relativeFrom="column">
              <wp:posOffset>-209550</wp:posOffset>
            </wp:positionH>
            <wp:positionV relativeFrom="paragraph">
              <wp:posOffset>34290</wp:posOffset>
            </wp:positionV>
            <wp:extent cx="5918835" cy="7642860"/>
            <wp:effectExtent l="0" t="0" r="5715" b="15240"/>
            <wp:wrapSquare wrapText="bothSides"/>
            <wp:docPr id="132" name="图片 132" descr="加工合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加工合同"/>
                    <pic:cNvPicPr>
                      <a:picLocks noChangeAspect="1"/>
                    </pic:cNvPicPr>
                  </pic:nvPicPr>
                  <pic:blipFill>
                    <a:blip r:embed="rId76"/>
                    <a:stretch>
                      <a:fillRect/>
                    </a:stretch>
                  </pic:blipFill>
                  <pic:spPr>
                    <a:xfrm>
                      <a:off x="0" y="0"/>
                      <a:ext cx="5918835" cy="7642860"/>
                    </a:xfrm>
                    <a:prstGeom prst="rect">
                      <a:avLst/>
                    </a:prstGeom>
                  </pic:spPr>
                </pic:pic>
              </a:graphicData>
            </a:graphic>
          </wp:anchor>
        </w:drawing>
      </w:r>
    </w:p>
    <w:p>
      <w:pPr>
        <w:pStyle w:val="18"/>
        <w:spacing w:line="360" w:lineRule="auto"/>
        <w:jc w:val="both"/>
        <w:rPr>
          <w:rFonts w:hint="default" w:ascii="Times New Roman" w:hAnsi="Times New Roman" w:eastAsia="宋体" w:cs="Times New Roman"/>
          <w:b/>
          <w:color w:val="FF0000"/>
          <w:sz w:val="28"/>
          <w:szCs w:val="28"/>
          <w:shd w:val="clear" w:color="auto" w:fill="auto"/>
          <w:lang w:val="en-US" w:eastAsia="zh-CN"/>
        </w:rPr>
      </w:pPr>
    </w:p>
    <w:p>
      <w:pPr>
        <w:pStyle w:val="18"/>
        <w:spacing w:line="360" w:lineRule="auto"/>
        <w:jc w:val="both"/>
        <w:rPr>
          <w:rFonts w:hint="eastAsia" w:ascii="Times New Roman" w:hAnsi="Times New Roman" w:cs="Times New Roman"/>
          <w:b/>
          <w:color w:val="auto"/>
          <w:sz w:val="28"/>
          <w:szCs w:val="28"/>
          <w:shd w:val="clear" w:color="auto" w:fill="auto"/>
          <w:lang w:val="en-US" w:eastAsia="zh-CN"/>
        </w:rPr>
      </w:pPr>
      <w:r>
        <w:rPr>
          <w:rFonts w:hint="default" w:ascii="Times New Roman" w:hAnsi="Times New Roman" w:cs="Times New Roman"/>
          <w:b/>
          <w:color w:val="auto"/>
          <w:sz w:val="28"/>
          <w:szCs w:val="28"/>
          <w:shd w:val="clear" w:color="auto" w:fill="auto"/>
          <w:lang w:val="en-US" w:eastAsia="zh-CN"/>
        </w:rPr>
        <w:drawing>
          <wp:anchor distT="0" distB="0" distL="114300" distR="114300" simplePos="0" relativeHeight="2074912768" behindDoc="0" locked="0" layoutInCell="1" allowOverlap="1">
            <wp:simplePos x="0" y="0"/>
            <wp:positionH relativeFrom="column">
              <wp:posOffset>-228600</wp:posOffset>
            </wp:positionH>
            <wp:positionV relativeFrom="paragraph">
              <wp:posOffset>558165</wp:posOffset>
            </wp:positionV>
            <wp:extent cx="5708015" cy="7370445"/>
            <wp:effectExtent l="0" t="0" r="6985" b="1905"/>
            <wp:wrapSquare wrapText="bothSides"/>
            <wp:docPr id="133" name="图片 133" descr="世源接收回水利用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世源接收回水利用函"/>
                    <pic:cNvPicPr>
                      <a:picLocks noChangeAspect="1"/>
                    </pic:cNvPicPr>
                  </pic:nvPicPr>
                  <pic:blipFill>
                    <a:blip r:embed="rId77"/>
                    <a:stretch>
                      <a:fillRect/>
                    </a:stretch>
                  </pic:blipFill>
                  <pic:spPr>
                    <a:xfrm>
                      <a:off x="0" y="0"/>
                      <a:ext cx="5708015" cy="7370445"/>
                    </a:xfrm>
                    <a:prstGeom prst="rect">
                      <a:avLst/>
                    </a:prstGeom>
                  </pic:spPr>
                </pic:pic>
              </a:graphicData>
            </a:graphic>
          </wp:anchor>
        </w:drawing>
      </w:r>
      <w:r>
        <w:rPr>
          <w:rFonts w:hint="eastAsia" w:ascii="Times New Roman" w:hAnsi="Times New Roman" w:cs="Times New Roman"/>
          <w:b/>
          <w:color w:val="auto"/>
          <w:sz w:val="28"/>
          <w:szCs w:val="28"/>
          <w:shd w:val="clear" w:color="auto" w:fill="auto"/>
          <w:lang w:val="en-US" w:eastAsia="zh-CN"/>
        </w:rPr>
        <w:t>附件十七 废水接收函</w:t>
      </w:r>
    </w:p>
    <w:p>
      <w:pPr>
        <w:pStyle w:val="18"/>
        <w:spacing w:line="360" w:lineRule="auto"/>
        <w:jc w:val="both"/>
        <w:rPr>
          <w:rFonts w:hint="eastAsia" w:ascii="Times New Roman" w:hAnsi="Times New Roman" w:cs="Times New Roman"/>
          <w:b/>
          <w:color w:val="FF0000"/>
          <w:sz w:val="28"/>
          <w:szCs w:val="28"/>
          <w:shd w:val="clear" w:color="auto" w:fill="auto"/>
          <w:lang w:val="en-US" w:eastAsia="zh-CN"/>
        </w:rPr>
      </w:pPr>
    </w:p>
    <w:p>
      <w:pPr>
        <w:pStyle w:val="18"/>
        <w:spacing w:line="360" w:lineRule="auto"/>
        <w:jc w:val="both"/>
        <w:rPr>
          <w:rFonts w:hint="eastAsia" w:ascii="Times New Roman" w:hAnsi="Times New Roman" w:cs="Times New Roman"/>
          <w:b/>
          <w:color w:val="FF0000"/>
          <w:sz w:val="28"/>
          <w:szCs w:val="28"/>
          <w:shd w:val="clear" w:color="auto" w:fill="auto"/>
          <w:lang w:val="en-US" w:eastAsia="zh-CN"/>
        </w:rPr>
      </w:pPr>
    </w:p>
    <w:p>
      <w:pPr>
        <w:pStyle w:val="18"/>
        <w:spacing w:line="360" w:lineRule="auto"/>
        <w:jc w:val="both"/>
        <w:rPr>
          <w:rFonts w:hint="eastAsia" w:ascii="Times New Roman" w:hAnsi="Times New Roman" w:cs="Times New Roman"/>
          <w:b/>
          <w:color w:val="auto"/>
          <w:sz w:val="28"/>
          <w:szCs w:val="28"/>
          <w:shd w:val="clear" w:color="auto" w:fill="auto"/>
          <w:lang w:val="en-US" w:eastAsia="zh-CN"/>
        </w:rPr>
      </w:pPr>
      <w:r>
        <w:rPr>
          <w:rFonts w:hint="eastAsia" w:ascii="Times New Roman" w:hAnsi="Times New Roman" w:cs="Times New Roman"/>
          <w:b/>
          <w:color w:val="auto"/>
          <w:sz w:val="28"/>
          <w:szCs w:val="28"/>
          <w:shd w:val="clear" w:color="auto" w:fill="auto"/>
          <w:lang w:val="en-US" w:eastAsia="zh-CN"/>
        </w:rPr>
        <w:t>附件十八 项目总平面布置图</w:t>
      </w:r>
    </w:p>
    <w:p>
      <w:pPr>
        <w:pStyle w:val="18"/>
        <w:spacing w:line="360" w:lineRule="auto"/>
        <w:jc w:val="both"/>
        <w:rPr>
          <w:rFonts w:hint="eastAsia" w:ascii="Times New Roman" w:hAnsi="Times New Roman" w:cs="Times New Roman"/>
          <w:b/>
          <w:color w:val="FF0000"/>
          <w:sz w:val="28"/>
          <w:szCs w:val="28"/>
          <w:shd w:val="clear" w:color="auto" w:fill="auto"/>
          <w:lang w:val="en-US" w:eastAsia="zh-CN"/>
        </w:rPr>
      </w:pPr>
      <w:r>
        <w:rPr>
          <w:rFonts w:hint="eastAsia" w:ascii="Times New Roman" w:hAnsi="Times New Roman" w:cs="Times New Roman"/>
          <w:b/>
          <w:color w:val="FF0000"/>
          <w:sz w:val="28"/>
          <w:szCs w:val="28"/>
          <w:shd w:val="clear" w:color="auto" w:fill="auto"/>
          <w:lang w:val="en-US" w:eastAsia="zh-CN"/>
        </w:rPr>
        <w:drawing>
          <wp:anchor distT="0" distB="0" distL="114300" distR="114300" simplePos="0" relativeHeight="2074913792" behindDoc="0" locked="0" layoutInCell="1" allowOverlap="1">
            <wp:simplePos x="0" y="0"/>
            <wp:positionH relativeFrom="column">
              <wp:posOffset>209550</wp:posOffset>
            </wp:positionH>
            <wp:positionV relativeFrom="paragraph">
              <wp:posOffset>66675</wp:posOffset>
            </wp:positionV>
            <wp:extent cx="4942840" cy="7784465"/>
            <wp:effectExtent l="0" t="0" r="10160" b="6985"/>
            <wp:wrapSquare wrapText="bothSides"/>
            <wp:docPr id="134" name="图片 134" descr="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AAS"/>
                    <pic:cNvPicPr>
                      <a:picLocks noChangeAspect="1"/>
                    </pic:cNvPicPr>
                  </pic:nvPicPr>
                  <pic:blipFill>
                    <a:blip r:embed="rId78"/>
                    <a:srcRect r="20615"/>
                    <a:stretch>
                      <a:fillRect/>
                    </a:stretch>
                  </pic:blipFill>
                  <pic:spPr>
                    <a:xfrm>
                      <a:off x="0" y="0"/>
                      <a:ext cx="4942840" cy="7784465"/>
                    </a:xfrm>
                    <a:prstGeom prst="rect">
                      <a:avLst/>
                    </a:prstGeom>
                  </pic:spPr>
                </pic:pic>
              </a:graphicData>
            </a:graphic>
          </wp:anchor>
        </w:drawing>
      </w:r>
    </w:p>
    <w:p>
      <w:pPr>
        <w:pStyle w:val="18"/>
        <w:spacing w:line="360" w:lineRule="auto"/>
        <w:jc w:val="both"/>
        <w:rPr>
          <w:rFonts w:hint="eastAsia" w:ascii="Times New Roman" w:hAnsi="Times New Roman" w:cs="Times New Roman"/>
          <w:b/>
          <w:color w:val="auto"/>
          <w:sz w:val="28"/>
          <w:szCs w:val="28"/>
          <w:shd w:val="clear" w:color="auto" w:fill="auto"/>
          <w:lang w:val="en-US" w:eastAsia="zh-CN"/>
        </w:rPr>
      </w:pPr>
      <w:r>
        <w:rPr>
          <w:rFonts w:hint="eastAsia" w:ascii="Times New Roman" w:hAnsi="Times New Roman" w:cs="Times New Roman"/>
          <w:b/>
          <w:color w:val="auto"/>
          <w:sz w:val="28"/>
          <w:szCs w:val="28"/>
          <w:shd w:val="clear" w:color="auto" w:fill="auto"/>
          <w:lang w:val="en-US" w:eastAsia="zh-CN"/>
        </w:rPr>
        <w:t>附件十九 检测报告</w:t>
      </w:r>
    </w:p>
    <w:p>
      <w:pPr>
        <w:pStyle w:val="2"/>
        <w:ind w:firstLine="562" w:firstLineChars="200"/>
        <w:rPr>
          <w:rFonts w:hint="eastAsia" w:ascii="Times New Roman" w:hAnsi="Times New Roman" w:cs="Times New Roman"/>
          <w:lang w:val="en-US" w:eastAsia="zh-CN"/>
        </w:rPr>
      </w:pPr>
      <w:r>
        <w:rPr>
          <w:rFonts w:hint="default" w:ascii="Times New Roman" w:hAnsi="Times New Roman" w:cs="Times New Roman"/>
          <w:b/>
          <w:color w:val="FF0000"/>
          <w:sz w:val="28"/>
          <w:szCs w:val="28"/>
          <w:shd w:val="clear" w:color="auto" w:fill="auto"/>
          <w:lang w:val="en-US" w:eastAsia="zh-CN"/>
        </w:rPr>
        <w:drawing>
          <wp:inline distT="0" distB="0" distL="114300" distR="114300">
            <wp:extent cx="5267960" cy="7450455"/>
            <wp:effectExtent l="0" t="0" r="8890" b="17145"/>
            <wp:docPr id="135" name="图片 1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1"/>
                    <pic:cNvPicPr>
                      <a:picLocks noChangeAspect="1"/>
                    </pic:cNvPicPr>
                  </pic:nvPicPr>
                  <pic:blipFill>
                    <a:blip r:embed="rId79"/>
                    <a:stretch>
                      <a:fillRect/>
                    </a:stretch>
                  </pic:blipFill>
                  <pic:spPr>
                    <a:xfrm>
                      <a:off x="0" y="0"/>
                      <a:ext cx="5267960" cy="7450455"/>
                    </a:xfrm>
                    <a:prstGeom prst="rect">
                      <a:avLst/>
                    </a:prstGeom>
                  </pic:spPr>
                </pic:pic>
              </a:graphicData>
            </a:graphic>
          </wp:inline>
        </w:drawing>
      </w:r>
      <w:r>
        <w:rPr>
          <w:rFonts w:hint="default" w:ascii="Times New Roman" w:hAnsi="Times New Roman" w:cs="Times New Roman"/>
          <w:b/>
          <w:color w:val="FF0000"/>
          <w:sz w:val="28"/>
          <w:szCs w:val="28"/>
          <w:shd w:val="clear" w:color="auto" w:fill="auto"/>
          <w:lang w:val="en-US" w:eastAsia="zh-CN"/>
        </w:rPr>
        <w:drawing>
          <wp:inline distT="0" distB="0" distL="114300" distR="114300">
            <wp:extent cx="5267960" cy="7450455"/>
            <wp:effectExtent l="0" t="0" r="8890" b="17145"/>
            <wp:docPr id="136" name="图片 1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2"/>
                    <pic:cNvPicPr>
                      <a:picLocks noChangeAspect="1"/>
                    </pic:cNvPicPr>
                  </pic:nvPicPr>
                  <pic:blipFill>
                    <a:blip r:embed="rId80"/>
                    <a:stretch>
                      <a:fillRect/>
                    </a:stretch>
                  </pic:blipFill>
                  <pic:spPr>
                    <a:xfrm>
                      <a:off x="0" y="0"/>
                      <a:ext cx="5267960" cy="7450455"/>
                    </a:xfrm>
                    <a:prstGeom prst="rect">
                      <a:avLst/>
                    </a:prstGeom>
                  </pic:spPr>
                </pic:pic>
              </a:graphicData>
            </a:graphic>
          </wp:inline>
        </w:drawing>
      </w:r>
      <w:r>
        <w:rPr>
          <w:rFonts w:hint="default" w:ascii="Times New Roman" w:hAnsi="Times New Roman" w:cs="Times New Roman"/>
          <w:b/>
          <w:color w:val="FF0000"/>
          <w:sz w:val="28"/>
          <w:szCs w:val="28"/>
          <w:shd w:val="clear" w:color="auto" w:fill="auto"/>
          <w:lang w:val="en-US" w:eastAsia="zh-CN"/>
        </w:rPr>
        <w:drawing>
          <wp:inline distT="0" distB="0" distL="114300" distR="114300">
            <wp:extent cx="5267960" cy="7450455"/>
            <wp:effectExtent l="0" t="0" r="8890" b="17145"/>
            <wp:docPr id="137" name="图片 1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3"/>
                    <pic:cNvPicPr>
                      <a:picLocks noChangeAspect="1"/>
                    </pic:cNvPicPr>
                  </pic:nvPicPr>
                  <pic:blipFill>
                    <a:blip r:embed="rId81"/>
                    <a:stretch>
                      <a:fillRect/>
                    </a:stretch>
                  </pic:blipFill>
                  <pic:spPr>
                    <a:xfrm>
                      <a:off x="0" y="0"/>
                      <a:ext cx="5267960" cy="7450455"/>
                    </a:xfrm>
                    <a:prstGeom prst="rect">
                      <a:avLst/>
                    </a:prstGeom>
                  </pic:spPr>
                </pic:pic>
              </a:graphicData>
            </a:graphic>
          </wp:inline>
        </w:drawing>
      </w:r>
      <w:r>
        <w:rPr>
          <w:rFonts w:hint="default" w:ascii="Times New Roman" w:hAnsi="Times New Roman" w:cs="Times New Roman"/>
          <w:b/>
          <w:color w:val="FF0000"/>
          <w:sz w:val="28"/>
          <w:szCs w:val="28"/>
          <w:shd w:val="clear" w:color="auto" w:fill="auto"/>
          <w:lang w:val="en-US" w:eastAsia="zh-CN"/>
        </w:rPr>
        <w:drawing>
          <wp:inline distT="0" distB="0" distL="114300" distR="114300">
            <wp:extent cx="5267960" cy="7450455"/>
            <wp:effectExtent l="0" t="0" r="8890" b="17145"/>
            <wp:docPr id="138" name="图片 13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4"/>
                    <pic:cNvPicPr>
                      <a:picLocks noChangeAspect="1"/>
                    </pic:cNvPicPr>
                  </pic:nvPicPr>
                  <pic:blipFill>
                    <a:blip r:embed="rId82"/>
                    <a:stretch>
                      <a:fillRect/>
                    </a:stretch>
                  </pic:blipFill>
                  <pic:spPr>
                    <a:xfrm>
                      <a:off x="0" y="0"/>
                      <a:ext cx="5267960" cy="7450455"/>
                    </a:xfrm>
                    <a:prstGeom prst="rect">
                      <a:avLst/>
                    </a:prstGeom>
                  </pic:spPr>
                </pic:pic>
              </a:graphicData>
            </a:graphic>
          </wp:inline>
        </w:drawing>
      </w:r>
      <w:r>
        <w:rPr>
          <w:rFonts w:hint="default" w:ascii="Times New Roman" w:hAnsi="Times New Roman" w:cs="Times New Roman"/>
          <w:b/>
          <w:color w:val="FF0000"/>
          <w:sz w:val="28"/>
          <w:szCs w:val="28"/>
          <w:shd w:val="clear" w:color="auto" w:fill="auto"/>
          <w:lang w:val="en-US" w:eastAsia="zh-CN"/>
        </w:rPr>
        <w:drawing>
          <wp:inline distT="0" distB="0" distL="114300" distR="114300">
            <wp:extent cx="5267960" cy="7450455"/>
            <wp:effectExtent l="0" t="0" r="8890" b="17145"/>
            <wp:docPr id="139" name="图片 13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5"/>
                    <pic:cNvPicPr>
                      <a:picLocks noChangeAspect="1"/>
                    </pic:cNvPicPr>
                  </pic:nvPicPr>
                  <pic:blipFill>
                    <a:blip r:embed="rId83"/>
                    <a:stretch>
                      <a:fillRect/>
                    </a:stretch>
                  </pic:blipFill>
                  <pic:spPr>
                    <a:xfrm>
                      <a:off x="0" y="0"/>
                      <a:ext cx="5267960" cy="7450455"/>
                    </a:xfrm>
                    <a:prstGeom prst="rect">
                      <a:avLst/>
                    </a:prstGeom>
                  </pic:spPr>
                </pic:pic>
              </a:graphicData>
            </a:graphic>
          </wp:inline>
        </w:drawing>
      </w:r>
      <w:r>
        <w:rPr>
          <w:rFonts w:hint="default" w:ascii="Times New Roman" w:hAnsi="Times New Roman" w:cs="Times New Roman"/>
          <w:b/>
          <w:color w:val="FF0000"/>
          <w:sz w:val="28"/>
          <w:szCs w:val="28"/>
          <w:shd w:val="clear" w:color="auto" w:fill="auto"/>
          <w:lang w:val="en-US" w:eastAsia="zh-CN"/>
        </w:rPr>
        <w:drawing>
          <wp:inline distT="0" distB="0" distL="114300" distR="114300">
            <wp:extent cx="5267960" cy="7450455"/>
            <wp:effectExtent l="0" t="0" r="8890" b="17145"/>
            <wp:docPr id="140" name="图片 14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6"/>
                    <pic:cNvPicPr>
                      <a:picLocks noChangeAspect="1"/>
                    </pic:cNvPicPr>
                  </pic:nvPicPr>
                  <pic:blipFill>
                    <a:blip r:embed="rId84"/>
                    <a:stretch>
                      <a:fillRect/>
                    </a:stretch>
                  </pic:blipFill>
                  <pic:spPr>
                    <a:xfrm>
                      <a:off x="0" y="0"/>
                      <a:ext cx="5267960" cy="7450455"/>
                    </a:xfrm>
                    <a:prstGeom prst="rect">
                      <a:avLst/>
                    </a:prstGeom>
                  </pic:spPr>
                </pic:pic>
              </a:graphicData>
            </a:graphic>
          </wp:inline>
        </w:drawing>
      </w:r>
      <w:r>
        <w:rPr>
          <w:rFonts w:hint="default" w:ascii="Times New Roman" w:hAnsi="Times New Roman" w:cs="Times New Roman"/>
          <w:b/>
          <w:color w:val="FF0000"/>
          <w:sz w:val="28"/>
          <w:szCs w:val="28"/>
          <w:shd w:val="clear" w:color="auto" w:fill="auto"/>
          <w:lang w:val="en-US" w:eastAsia="zh-CN"/>
        </w:rPr>
        <w:drawing>
          <wp:inline distT="0" distB="0" distL="114300" distR="114300">
            <wp:extent cx="5267960" cy="7450455"/>
            <wp:effectExtent l="0" t="0" r="8890" b="17145"/>
            <wp:docPr id="141" name="图片 14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7"/>
                    <pic:cNvPicPr>
                      <a:picLocks noChangeAspect="1"/>
                    </pic:cNvPicPr>
                  </pic:nvPicPr>
                  <pic:blipFill>
                    <a:blip r:embed="rId85"/>
                    <a:stretch>
                      <a:fillRect/>
                    </a:stretch>
                  </pic:blipFill>
                  <pic:spPr>
                    <a:xfrm>
                      <a:off x="0" y="0"/>
                      <a:ext cx="5267960" cy="7450455"/>
                    </a:xfrm>
                    <a:prstGeom prst="rect">
                      <a:avLst/>
                    </a:prstGeom>
                  </pic:spPr>
                </pic:pic>
              </a:graphicData>
            </a:graphic>
          </wp:inline>
        </w:drawing>
      </w:r>
      <w:r>
        <w:rPr>
          <w:rFonts w:hint="default" w:ascii="Times New Roman" w:hAnsi="Times New Roman" w:cs="Times New Roman"/>
          <w:b/>
          <w:color w:val="FF0000"/>
          <w:sz w:val="28"/>
          <w:szCs w:val="28"/>
          <w:shd w:val="clear" w:color="auto" w:fill="auto"/>
          <w:lang w:val="en-US" w:eastAsia="zh-CN"/>
        </w:rPr>
        <w:drawing>
          <wp:inline distT="0" distB="0" distL="114300" distR="114300">
            <wp:extent cx="5267960" cy="7450455"/>
            <wp:effectExtent l="0" t="0" r="8890" b="17145"/>
            <wp:docPr id="142" name="图片 14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8"/>
                    <pic:cNvPicPr>
                      <a:picLocks noChangeAspect="1"/>
                    </pic:cNvPicPr>
                  </pic:nvPicPr>
                  <pic:blipFill>
                    <a:blip r:embed="rId86"/>
                    <a:stretch>
                      <a:fillRect/>
                    </a:stretch>
                  </pic:blipFill>
                  <pic:spPr>
                    <a:xfrm>
                      <a:off x="0" y="0"/>
                      <a:ext cx="5267960" cy="7450455"/>
                    </a:xfrm>
                    <a:prstGeom prst="rect">
                      <a:avLst/>
                    </a:prstGeom>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80"/>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07" name="文本框 2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dRueEWAgAAFwQAAA4AAABkcnMvZTJvRG9jLnhtbK1Ty47TMBTdI/EP&#10;lvc0aRFD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HUbnhFgIAABcEAAAOAAAAAAAA&#10;AAEAIAAAAB8BAABkcnMvZTJvRG9jLnhtbFBLBQYAAAAABgAGAFkBAACnBQAAAAA=&#10;">
              <v:fill on="f" focussize="0,0"/>
              <v:stroke on="f" weight="0.5pt"/>
              <v:imagedata o:title=""/>
              <o:lock v:ext="edit" aspectratio="f"/>
              <v:textbox inset="0mm,0mm,0mm,0mm" style="mso-fit-shape-to-text:t;">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8" name="文本框 2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qeUb8VAgAAF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AqeUb8VAgAAFwQAAA4AAAAAAAAA&#10;AQAgAAAAHwEAAGRycy9lMm9Eb2MueG1sUEsFBgAAAAAGAAYAWQEAAKYFAAAAAA==&#10;">
              <v:fill on="f" focussize="0,0"/>
              <v:stroke on="f" weight="0.5pt"/>
              <v:imagedata o:title=""/>
              <o:lock v:ext="edit" aspectratio="f"/>
              <v:textbox inset="0mm,0mm,0mm,0mm" style="mso-fit-shape-to-text:t;">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rPr>
        <w:rFonts w:hint="eastAsia"/>
        <w:lang w:val="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spacing w:line="240" w:lineRule="auto"/>
      <w:jc w:val="right"/>
      <w:rPr>
        <w:u w:val="non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spacing w:line="240" w:lineRule="auto"/>
      <w:jc w:val="right"/>
      <w:rPr>
        <w:u w:val="none"/>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single" w:color="auto" w:sz="4" w:space="1"/>
      </w:pBdr>
      <w:spacing w:line="240" w:lineRule="auto"/>
      <w:jc w:val="right"/>
      <w:rPr>
        <w:u w:val="none"/>
      </w:rPr>
    </w:pPr>
    <w:r>
      <w:rPr>
        <w:rFonts w:hint="eastAsia" w:ascii="仿宋" w:hAnsi="仿宋" w:eastAsia="仿宋" w:cs="仿宋"/>
        <w:b w:val="0"/>
        <w:bCs/>
        <w:sz w:val="18"/>
        <w:szCs w:val="18"/>
      </w:rPr>
      <w:t>池州市贵池区姚街铅锌矿年产</w:t>
    </w:r>
    <w:r>
      <w:rPr>
        <w:rFonts w:hint="default" w:ascii="Times New Roman" w:hAnsi="Times New Roman" w:eastAsia="仿宋" w:cs="Times New Roman"/>
        <w:b w:val="0"/>
        <w:bCs/>
        <w:sz w:val="18"/>
        <w:szCs w:val="18"/>
      </w:rPr>
      <w:t>2</w:t>
    </w:r>
    <w:r>
      <w:rPr>
        <w:rFonts w:hint="eastAsia" w:ascii="仿宋" w:hAnsi="仿宋" w:eastAsia="仿宋" w:cs="仿宋"/>
        <w:b w:val="0"/>
        <w:bCs/>
        <w:sz w:val="18"/>
        <w:szCs w:val="18"/>
      </w:rPr>
      <w:t>万吨铅锌矿石原矿采矿技改整合扩建工程项目</w:t>
    </w:r>
    <w:r>
      <w:rPr>
        <w:rFonts w:hint="eastAsia" w:ascii="仿宋" w:hAnsi="仿宋" w:eastAsia="仿宋" w:cs="仿宋"/>
        <w:b w:val="0"/>
        <w:bCs/>
        <w:sz w:val="18"/>
        <w:szCs w:val="18"/>
        <w:lang w:eastAsia="zh-CN"/>
      </w:rPr>
      <w:t>验收调查报</w:t>
    </w:r>
    <w:r>
      <w:rPr>
        <w:rFonts w:hint="eastAsia" w:ascii="仿宋" w:hAnsi="仿宋" w:eastAsia="仿宋" w:cs="仿宋"/>
        <w:b w:val="0"/>
        <w:bCs/>
        <w:color w:val="auto"/>
        <w:sz w:val="18"/>
        <w:szCs w:val="18"/>
      </w:rPr>
      <w:t>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single" w:color="auto" w:sz="4" w:space="1"/>
      </w:pBdr>
      <w:spacing w:line="240" w:lineRule="auto"/>
      <w:jc w:val="right"/>
      <w:rPr>
        <w:u w:val="none"/>
      </w:rPr>
    </w:pPr>
    <w:r>
      <w:rPr>
        <w:rFonts w:hint="eastAsia" w:ascii="仿宋" w:hAnsi="仿宋" w:eastAsia="仿宋" w:cs="仿宋"/>
        <w:b w:val="0"/>
        <w:bCs/>
        <w:sz w:val="18"/>
        <w:szCs w:val="18"/>
      </w:rPr>
      <w:t>池州市贵池区姚街铅锌矿年产</w:t>
    </w:r>
    <w:r>
      <w:rPr>
        <w:rFonts w:hint="default" w:ascii="Times New Roman" w:hAnsi="Times New Roman" w:eastAsia="仿宋" w:cs="Times New Roman"/>
        <w:b w:val="0"/>
        <w:bCs/>
        <w:sz w:val="18"/>
        <w:szCs w:val="18"/>
      </w:rPr>
      <w:t>2</w:t>
    </w:r>
    <w:r>
      <w:rPr>
        <w:rFonts w:hint="eastAsia" w:ascii="仿宋" w:hAnsi="仿宋" w:eastAsia="仿宋" w:cs="仿宋"/>
        <w:b w:val="0"/>
        <w:bCs/>
        <w:sz w:val="18"/>
        <w:szCs w:val="18"/>
      </w:rPr>
      <w:t>万吨铅锌矿石原矿采矿技改整合扩建工程项目</w:t>
    </w:r>
    <w:r>
      <w:rPr>
        <w:rFonts w:hint="eastAsia" w:ascii="仿宋" w:hAnsi="仿宋" w:eastAsia="仿宋" w:cs="仿宋"/>
        <w:b w:val="0"/>
        <w:bCs/>
        <w:sz w:val="18"/>
        <w:szCs w:val="18"/>
        <w:lang w:eastAsia="zh-CN"/>
      </w:rPr>
      <w:t>验收调查报</w:t>
    </w:r>
    <w:r>
      <w:rPr>
        <w:rFonts w:hint="eastAsia" w:ascii="仿宋" w:hAnsi="仿宋" w:eastAsia="仿宋" w:cs="仿宋"/>
        <w:b w:val="0"/>
        <w:bCs/>
        <w:color w:val="auto"/>
        <w:sz w:val="18"/>
        <w:szCs w:val="18"/>
      </w:rPr>
      <w:t>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single" w:color="auto" w:sz="4" w:space="1"/>
      </w:pBdr>
      <w:spacing w:line="240" w:lineRule="auto"/>
      <w:jc w:val="right"/>
      <w:rPr>
        <w:rFonts w:hint="eastAsia"/>
      </w:rPr>
    </w:pPr>
    <w:r>
      <w:rPr>
        <w:rFonts w:hint="eastAsia" w:ascii="仿宋" w:hAnsi="仿宋" w:eastAsia="仿宋" w:cs="仿宋"/>
        <w:b w:val="0"/>
        <w:bCs/>
        <w:sz w:val="18"/>
        <w:szCs w:val="18"/>
      </w:rPr>
      <w:t>池州市贵池区姚街铅锌矿年产</w:t>
    </w:r>
    <w:r>
      <w:rPr>
        <w:rFonts w:hint="default" w:ascii="Times New Roman" w:hAnsi="Times New Roman" w:eastAsia="仿宋" w:cs="Times New Roman"/>
        <w:b w:val="0"/>
        <w:bCs/>
        <w:sz w:val="18"/>
        <w:szCs w:val="18"/>
      </w:rPr>
      <w:t>2</w:t>
    </w:r>
    <w:r>
      <w:rPr>
        <w:rFonts w:hint="eastAsia" w:ascii="仿宋" w:hAnsi="仿宋" w:eastAsia="仿宋" w:cs="仿宋"/>
        <w:b w:val="0"/>
        <w:bCs/>
        <w:sz w:val="18"/>
        <w:szCs w:val="18"/>
      </w:rPr>
      <w:t>万吨铅锌矿石原矿采矿技改整合扩建工程项目</w:t>
    </w:r>
    <w:r>
      <w:rPr>
        <w:rFonts w:hint="eastAsia" w:ascii="仿宋" w:hAnsi="仿宋" w:eastAsia="仿宋" w:cs="仿宋"/>
        <w:b w:val="0"/>
        <w:bCs/>
        <w:sz w:val="18"/>
        <w:szCs w:val="18"/>
        <w:lang w:eastAsia="zh-CN"/>
      </w:rPr>
      <w:t>验收调查报</w:t>
    </w:r>
    <w:r>
      <w:rPr>
        <w:rFonts w:hint="eastAsia" w:ascii="仿宋" w:hAnsi="仿宋" w:eastAsia="仿宋" w:cs="仿宋"/>
        <w:b w:val="0"/>
        <w:bCs/>
        <w:color w:val="auto"/>
        <w:sz w:val="18"/>
        <w:szCs w:val="18"/>
      </w:rPr>
      <w:t>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9E8518A"/>
    <w:multiLevelType w:val="singleLevel"/>
    <w:tmpl w:val="59E8518A"/>
    <w:lvl w:ilvl="0" w:tentative="0">
      <w:start w:val="1"/>
      <w:numFmt w:val="chineseCounting"/>
      <w:suff w:val="nothing"/>
      <w:lvlText w:val="%1、"/>
      <w:lvlJc w:val="left"/>
    </w:lvl>
  </w:abstractNum>
  <w:abstractNum w:abstractNumId="1">
    <w:nsid w:val="59E85288"/>
    <w:multiLevelType w:val="singleLevel"/>
    <w:tmpl w:val="59E85288"/>
    <w:lvl w:ilvl="0" w:tentative="0">
      <w:start w:val="1"/>
      <w:numFmt w:val="chineseCounting"/>
      <w:suff w:val="nothing"/>
      <w:lvlText w:val="（%1）"/>
      <w:lvlJc w:val="left"/>
    </w:lvl>
  </w:abstractNum>
  <w:abstractNum w:abstractNumId="2">
    <w:nsid w:val="59E85BEE"/>
    <w:multiLevelType w:val="singleLevel"/>
    <w:tmpl w:val="59E85BEE"/>
    <w:lvl w:ilvl="0" w:tentative="0">
      <w:start w:val="3"/>
      <w:numFmt w:val="chineseCounting"/>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B1A1896"/>
    <w:rsid w:val="046D5B56"/>
    <w:rsid w:val="056425AD"/>
    <w:rsid w:val="08750D3F"/>
    <w:rsid w:val="0E2B2EC3"/>
    <w:rsid w:val="11FA5C38"/>
    <w:rsid w:val="14C84AD1"/>
    <w:rsid w:val="1534322F"/>
    <w:rsid w:val="15F819FB"/>
    <w:rsid w:val="16A10168"/>
    <w:rsid w:val="18CB6832"/>
    <w:rsid w:val="19E63ED9"/>
    <w:rsid w:val="1C997FE3"/>
    <w:rsid w:val="1EC5174D"/>
    <w:rsid w:val="24197969"/>
    <w:rsid w:val="257A5509"/>
    <w:rsid w:val="25E631CB"/>
    <w:rsid w:val="287F7019"/>
    <w:rsid w:val="28BF4F1F"/>
    <w:rsid w:val="29DD1C2F"/>
    <w:rsid w:val="2C1833DB"/>
    <w:rsid w:val="2DCF567B"/>
    <w:rsid w:val="2F0E0DBC"/>
    <w:rsid w:val="306315EA"/>
    <w:rsid w:val="340801F3"/>
    <w:rsid w:val="3B1A1896"/>
    <w:rsid w:val="40976E78"/>
    <w:rsid w:val="455B0EA9"/>
    <w:rsid w:val="466675A8"/>
    <w:rsid w:val="4BE6283D"/>
    <w:rsid w:val="4FB55A41"/>
    <w:rsid w:val="512A14D9"/>
    <w:rsid w:val="58343DA4"/>
    <w:rsid w:val="597176D0"/>
    <w:rsid w:val="5ABC61AF"/>
    <w:rsid w:val="5B8E77E9"/>
    <w:rsid w:val="5D09104B"/>
    <w:rsid w:val="5DDC2824"/>
    <w:rsid w:val="64330AC1"/>
    <w:rsid w:val="6ABA4A36"/>
    <w:rsid w:val="6AE6653F"/>
    <w:rsid w:val="6BDE2089"/>
    <w:rsid w:val="6CA33FF3"/>
    <w:rsid w:val="6D4A5E9F"/>
    <w:rsid w:val="6E3B49D8"/>
    <w:rsid w:val="6E75426B"/>
    <w:rsid w:val="727949DE"/>
    <w:rsid w:val="727A3843"/>
    <w:rsid w:val="733731F0"/>
    <w:rsid w:val="748C0AC6"/>
    <w:rsid w:val="75BB392B"/>
    <w:rsid w:val="7A3F6CF7"/>
    <w:rsid w:val="7A8A7AD4"/>
    <w:rsid w:val="7E640D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0" w:firstLineChars="0"/>
      <w:jc w:val="both"/>
    </w:pPr>
    <w:rPr>
      <w:rFonts w:ascii="Times New Roman" w:hAnsi="Times New Roman" w:eastAsia="宋体" w:cstheme="minorBidi"/>
      <w:kern w:val="2"/>
      <w:sz w:val="24"/>
      <w:szCs w:val="24"/>
      <w:lang w:val="en-US" w:eastAsia="zh-CN" w:bidi="ar-SA"/>
    </w:rPr>
  </w:style>
  <w:style w:type="paragraph" w:styleId="3">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4">
    <w:name w:val="heading 2"/>
    <w:basedOn w:val="1"/>
    <w:next w:val="1"/>
    <w:unhideWhenUsed/>
    <w:qFormat/>
    <w:uiPriority w:val="0"/>
    <w:pPr>
      <w:keepNext/>
      <w:keepLines/>
      <w:spacing w:before="50" w:beforeLines="50" w:after="50" w:afterLines="50"/>
      <w:jc w:val="left"/>
      <w:outlineLvl w:val="1"/>
    </w:pPr>
    <w:rPr>
      <w:rFonts w:ascii="Times New Roman" w:hAnsi="Times New Roman" w:eastAsia="宋体"/>
      <w:b/>
      <w:bCs/>
      <w:sz w:val="30"/>
      <w:szCs w:val="30"/>
    </w:rPr>
  </w:style>
  <w:style w:type="paragraph" w:styleId="5">
    <w:name w:val="heading 3"/>
    <w:basedOn w:val="1"/>
    <w:next w:val="1"/>
    <w:unhideWhenUsed/>
    <w:qFormat/>
    <w:uiPriority w:val="0"/>
    <w:pPr>
      <w:spacing w:before="0" w:beforeAutospacing="0" w:after="0" w:afterAutospacing="0"/>
      <w:ind w:left="120" w:leftChars="50"/>
      <w:jc w:val="left"/>
      <w:outlineLvl w:val="2"/>
    </w:pPr>
    <w:rPr>
      <w:rFonts w:hint="eastAsia" w:ascii="Times New Roman" w:hAnsi="Times New Roman" w:eastAsia="宋体" w:cs="宋体"/>
      <w:b/>
      <w:bCs/>
      <w:kern w:val="0"/>
      <w:sz w:val="28"/>
      <w:szCs w:val="28"/>
      <w:lang w:bidi="ar"/>
    </w:rPr>
  </w:style>
  <w:style w:type="paragraph" w:styleId="6">
    <w:name w:val="heading 4"/>
    <w:basedOn w:val="1"/>
    <w:next w:val="1"/>
    <w:link w:val="30"/>
    <w:unhideWhenUsed/>
    <w:qFormat/>
    <w:uiPriority w:val="0"/>
    <w:pPr>
      <w:keepNext/>
      <w:keepLines/>
      <w:spacing w:before="280" w:beforeLines="0" w:beforeAutospacing="0" w:after="290" w:afterLines="0" w:afterAutospacing="0" w:line="372" w:lineRule="auto"/>
      <w:outlineLvl w:val="3"/>
    </w:pPr>
    <w:rPr>
      <w:rFonts w:ascii="Times New Roman" w:hAnsi="Times New Roman" w:eastAsia="宋体"/>
      <w:b/>
    </w:rPr>
  </w:style>
  <w:style w:type="paragraph" w:styleId="7">
    <w:name w:val="heading 5"/>
    <w:basedOn w:val="1"/>
    <w:next w:val="1"/>
    <w:link w:val="29"/>
    <w:semiHidden/>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14">
    <w:name w:val="Default Paragraph Font"/>
    <w:semiHidden/>
    <w:qFormat/>
    <w:uiPriority w:val="0"/>
  </w:style>
  <w:style w:type="table" w:default="1" w:styleId="16">
    <w:name w:val="Normal Table"/>
    <w:semiHidden/>
    <w:qFormat/>
    <w:uiPriority w:val="0"/>
    <w:tblPr>
      <w:tblLayout w:type="fixed"/>
      <w:tblCellMar>
        <w:top w:w="0" w:type="dxa"/>
        <w:left w:w="108" w:type="dxa"/>
        <w:bottom w:w="0" w:type="dxa"/>
        <w:right w:w="108" w:type="dxa"/>
      </w:tblCellMar>
    </w:tblPr>
  </w:style>
  <w:style w:type="paragraph" w:styleId="2">
    <w:name w:val="Body Text"/>
    <w:basedOn w:val="1"/>
    <w:qFormat/>
    <w:uiPriority w:val="0"/>
  </w:style>
  <w:style w:type="paragraph" w:styleId="8">
    <w:name w:val="Normal Indent"/>
    <w:basedOn w:val="1"/>
    <w:qFormat/>
    <w:uiPriority w:val="0"/>
    <w:pPr>
      <w:spacing w:line="240" w:lineRule="auto"/>
      <w:ind w:firstLine="420"/>
    </w:pPr>
    <w:rPr>
      <w:rFonts w:ascii="宋体" w:hAnsi="宋体"/>
      <w:kern w:val="0"/>
      <w:sz w:val="20"/>
      <w:szCs w:val="24"/>
    </w:rPr>
  </w:style>
  <w:style w:type="paragraph" w:styleId="9">
    <w:name w:val="footer"/>
    <w:basedOn w:val="1"/>
    <w:qFormat/>
    <w:uiPriority w:val="0"/>
    <w:pPr>
      <w:tabs>
        <w:tab w:val="center" w:pos="4153"/>
        <w:tab w:val="right" w:pos="8306"/>
      </w:tabs>
      <w:snapToGrid w:val="0"/>
      <w:jc w:val="left"/>
    </w:pPr>
    <w:rPr>
      <w:sz w:val="18"/>
      <w:szCs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toc 1"/>
    <w:basedOn w:val="1"/>
    <w:next w:val="1"/>
    <w:qFormat/>
    <w:uiPriority w:val="0"/>
    <w:rPr>
      <w:rFonts w:ascii="Times New Roman" w:hAnsi="Times New Roman" w:eastAsia="宋体"/>
      <w:b/>
      <w:sz w:val="28"/>
    </w:rPr>
  </w:style>
  <w:style w:type="paragraph" w:styleId="12">
    <w:name w:val="toc 2"/>
    <w:basedOn w:val="1"/>
    <w:next w:val="1"/>
    <w:qFormat/>
    <w:uiPriority w:val="0"/>
    <w:pPr>
      <w:ind w:left="240" w:leftChars="100"/>
    </w:pPr>
    <w:rPr>
      <w:rFonts w:ascii="Times New Roman" w:hAnsi="Times New Roman" w:eastAsia="仿宋"/>
    </w:rPr>
  </w:style>
  <w:style w:type="paragraph" w:styleId="13">
    <w:name w:val="Normal (Web)"/>
    <w:basedOn w:val="1"/>
    <w:qFormat/>
    <w:uiPriority w:val="0"/>
    <w:pPr>
      <w:widowControl/>
      <w:spacing w:before="100" w:beforeAutospacing="1" w:after="100" w:afterAutospacing="1"/>
      <w:jc w:val="left"/>
    </w:pPr>
    <w:rPr>
      <w:rFonts w:ascii="宋体" w:hAnsi="宋体" w:cs="宋体"/>
      <w:kern w:val="0"/>
      <w:sz w:val="24"/>
    </w:rPr>
  </w:style>
  <w:style w:type="character" w:styleId="15">
    <w:name w:val="Hyperlink"/>
    <w:basedOn w:val="14"/>
    <w:qFormat/>
    <w:uiPriority w:val="0"/>
    <w:rPr>
      <w:color w:val="0000FF"/>
      <w:u w:val="single"/>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18">
    <w:name w:val="Default"/>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paragraph" w:customStyle="1" w:styleId="19">
    <w:name w:val="A正文"/>
    <w:basedOn w:val="1"/>
    <w:qFormat/>
    <w:uiPriority w:val="0"/>
    <w:rPr>
      <w:szCs w:val="24"/>
    </w:rPr>
  </w:style>
  <w:style w:type="paragraph" w:customStyle="1" w:styleId="20">
    <w:name w:val="样式 题注"/>
    <w:basedOn w:val="2"/>
    <w:qFormat/>
    <w:uiPriority w:val="0"/>
    <w:pPr>
      <w:spacing w:before="156" w:beforeLines="50" w:after="156" w:afterLines="50" w:line="240" w:lineRule="auto"/>
      <w:ind w:firstLine="0" w:firstLineChars="0"/>
      <w:jc w:val="center"/>
    </w:pPr>
    <w:rPr>
      <w:b/>
      <w:sz w:val="21"/>
      <w:szCs w:val="21"/>
    </w:rPr>
  </w:style>
  <w:style w:type="paragraph" w:customStyle="1" w:styleId="21">
    <w:name w:val="表格内容自定"/>
    <w:qFormat/>
    <w:uiPriority w:val="0"/>
    <w:pPr>
      <w:widowControl w:val="0"/>
      <w:pBdr>
        <w:top w:val="none" w:color="000000" w:sz="0" w:space="3"/>
        <w:left w:val="none" w:color="000000" w:sz="0" w:space="3"/>
        <w:bottom w:val="none" w:color="000000" w:sz="0" w:space="3"/>
        <w:right w:val="none" w:color="000000" w:sz="0" w:space="3"/>
        <w:between w:val="none" w:color="000000" w:sz="0" w:space="0"/>
      </w:pBdr>
      <w:spacing w:line="280" w:lineRule="exact"/>
      <w:jc w:val="center"/>
    </w:pPr>
    <w:rPr>
      <w:rFonts w:ascii="Times New Roman" w:hAnsi="Times New Roman" w:eastAsia="宋体" w:cs="Times New Roman"/>
      <w:kern w:val="1"/>
      <w:sz w:val="18"/>
      <w:szCs w:val="21"/>
      <w:lang w:val="en-US" w:eastAsia="zh-CN" w:bidi="ar-SA"/>
    </w:rPr>
  </w:style>
  <w:style w:type="paragraph" w:customStyle="1" w:styleId="22">
    <w:name w:val="列表0"/>
    <w:qFormat/>
    <w:uiPriority w:val="0"/>
    <w:pPr>
      <w:jc w:val="center"/>
    </w:pPr>
    <w:rPr>
      <w:rFonts w:ascii="Times New Roman" w:hAnsi="Times New Roman" w:eastAsia="宋体" w:cs="Times New Roman"/>
      <w:kern w:val="2"/>
      <w:sz w:val="21"/>
      <w:szCs w:val="21"/>
      <w:lang w:val="en-US" w:eastAsia="zh-CN" w:bidi="ar-SA"/>
    </w:rPr>
  </w:style>
  <w:style w:type="paragraph" w:customStyle="1" w:styleId="23">
    <w:name w:val="p0"/>
    <w:basedOn w:val="1"/>
    <w:qFormat/>
    <w:uiPriority w:val="0"/>
    <w:pPr>
      <w:widowControl/>
    </w:pPr>
    <w:rPr>
      <w:kern w:val="0"/>
      <w:szCs w:val="21"/>
    </w:rPr>
  </w:style>
  <w:style w:type="paragraph" w:customStyle="1" w:styleId="24">
    <w:name w:val="字元"/>
    <w:qFormat/>
    <w:uiPriority w:val="0"/>
    <w:pPr>
      <w:widowControl w:val="0"/>
      <w:pBdr>
        <w:top w:val="none" w:color="000000" w:sz="0" w:space="0"/>
        <w:left w:val="none" w:color="000000" w:sz="0" w:space="0"/>
        <w:bottom w:val="none" w:color="000000" w:sz="0" w:space="0"/>
        <w:right w:val="none" w:color="000000" w:sz="0" w:space="0"/>
        <w:between w:val="none" w:color="000000" w:sz="0" w:space="0"/>
      </w:pBdr>
      <w:spacing w:line="360" w:lineRule="auto"/>
      <w:ind w:firstLine="200" w:firstLineChars="200"/>
      <w:jc w:val="both"/>
    </w:pPr>
    <w:rPr>
      <w:rFonts w:ascii="Times New Roman" w:hAnsi="Times New Roman" w:eastAsia="宋体" w:cs="Times New Roman"/>
      <w:kern w:val="1"/>
      <w:sz w:val="24"/>
      <w:szCs w:val="24"/>
      <w:lang w:val="en-US" w:eastAsia="zh-CN" w:bidi="ar-SA"/>
    </w:rPr>
  </w:style>
  <w:style w:type="paragraph" w:customStyle="1" w:styleId="25">
    <w:name w:val="表格"/>
    <w:basedOn w:val="1"/>
    <w:qFormat/>
    <w:uiPriority w:val="0"/>
    <w:pPr>
      <w:spacing w:before="50" w:after="50"/>
      <w:jc w:val="center"/>
    </w:pPr>
    <w:rPr>
      <w:rFonts w:ascii="宋体"/>
      <w:szCs w:val="20"/>
    </w:rPr>
  </w:style>
  <w:style w:type="paragraph" w:customStyle="1" w:styleId="26">
    <w:name w:val="5文章(治)"/>
    <w:basedOn w:val="1"/>
    <w:qFormat/>
    <w:uiPriority w:val="0"/>
    <w:pPr>
      <w:ind w:firstLine="560"/>
    </w:pPr>
  </w:style>
  <w:style w:type="paragraph" w:customStyle="1" w:styleId="27">
    <w:name w:val="样式4"/>
    <w:basedOn w:val="4"/>
    <w:qFormat/>
    <w:uiPriority w:val="0"/>
    <w:pPr>
      <w:spacing w:line="520" w:lineRule="exact"/>
    </w:pPr>
    <w:rPr>
      <w:rFonts w:ascii="Times New Roman" w:hAnsi="Times New Roman" w:eastAsia="宋体"/>
      <w:sz w:val="24"/>
      <w:szCs w:val="30"/>
    </w:rPr>
  </w:style>
  <w:style w:type="paragraph" w:customStyle="1" w:styleId="28">
    <w:name w:val="应急预案正文"/>
    <w:basedOn w:val="1"/>
    <w:qFormat/>
    <w:uiPriority w:val="0"/>
    <w:pPr>
      <w:spacing w:line="520" w:lineRule="exact"/>
      <w:ind w:firstLine="560" w:firstLineChars="200"/>
    </w:pPr>
    <w:rPr>
      <w:rFonts w:hAnsi="宋体"/>
      <w:kern w:val="0"/>
      <w:sz w:val="28"/>
      <w:szCs w:val="28"/>
    </w:rPr>
  </w:style>
  <w:style w:type="character" w:customStyle="1" w:styleId="29">
    <w:name w:val="标题 5 Char"/>
    <w:link w:val="7"/>
    <w:qFormat/>
    <w:uiPriority w:val="0"/>
    <w:rPr>
      <w:b/>
      <w:sz w:val="28"/>
    </w:rPr>
  </w:style>
  <w:style w:type="character" w:customStyle="1" w:styleId="30">
    <w:name w:val="标题 4 Char"/>
    <w:link w:val="6"/>
    <w:qFormat/>
    <w:uiPriority w:val="0"/>
    <w:rPr>
      <w:rFonts w:ascii="Times New Roman" w:hAnsi="Times New Roman" w:eastAsia="宋体"/>
      <w:b/>
    </w:rPr>
  </w:style>
</w:styles>
</file>

<file path=word/_rels/document.xml.rels><?xml version="1.0" encoding="UTF-8" standalone="yes"?>
<Relationships xmlns="http://schemas.openxmlformats.org/package/2006/relationships"><Relationship Id="rId9" Type="http://schemas.openxmlformats.org/officeDocument/2006/relationships/header" Target="header5.xml"/><Relationship Id="rId89" Type="http://schemas.openxmlformats.org/officeDocument/2006/relationships/fontTable" Target="fontTable.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image" Target="media/image74.jpeg"/><Relationship Id="rId85" Type="http://schemas.openxmlformats.org/officeDocument/2006/relationships/image" Target="media/image73.jpeg"/><Relationship Id="rId84" Type="http://schemas.openxmlformats.org/officeDocument/2006/relationships/image" Target="media/image72.jpeg"/><Relationship Id="rId83" Type="http://schemas.openxmlformats.org/officeDocument/2006/relationships/image" Target="media/image71.jpeg"/><Relationship Id="rId82" Type="http://schemas.openxmlformats.org/officeDocument/2006/relationships/image" Target="media/image70.jpe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footer" Target="footer2.xml"/><Relationship Id="rId79" Type="http://schemas.openxmlformats.org/officeDocument/2006/relationships/image" Target="media/image67.jpeg"/><Relationship Id="rId78" Type="http://schemas.openxmlformats.org/officeDocument/2006/relationships/image" Target="media/image66.pn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jpeg"/><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header" Target="header4.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pn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1.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header" Target="header3.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header" Target="head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jpe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3.xml"/><Relationship Id="rId10" Type="http://schemas.openxmlformats.org/officeDocument/2006/relationships/header" Target="head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4</TotalTime>
  <ScaleCrop>false</ScaleCrop>
  <LinksUpToDate>false</LinksUpToDate>
  <CharactersWithSpaces>0</CharactersWithSpaces>
  <Application>WPS Office_10.1.0.7233_F1E327BC-269C-435d-A152-05C5408002CA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2018-03-26T06:26:00Z</dcterms:created>
  <dc:creator>花里胡哨的</dc:creator>
  <cp:lastModifiedBy>花里胡哨的</cp:lastModifiedBy>
  <dcterms:modified xsi:type="dcterms:W3CDTF">2018-04-03T08:54:05Z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2052-10.1.0.7233</vt:lpwstr>
  </property>
</Properties>
</file>